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spacing w:line="560" w:lineRule="exact"/>
        <w:jc w:val="center"/>
        <w:rPr>
          <w:rFonts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杨凌示范区自然资源和规划局</w:t>
      </w:r>
    </w:p>
    <w:p>
      <w:pPr>
        <w:spacing w:line="56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8"/>
          <w:szCs w:val="48"/>
        </w:rPr>
        <w:t>2019年部门决算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088" w:firstLineChars="65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保密审查情况：已审查</w:t>
      </w:r>
    </w:p>
    <w:p>
      <w:pPr>
        <w:spacing w:line="400" w:lineRule="exact"/>
        <w:jc w:val="center"/>
        <w:rPr>
          <w:rFonts w:ascii="宋体" w:hAnsi="宋体" w:cs="宋体"/>
          <w:b/>
          <w:bCs/>
          <w:sz w:val="32"/>
          <w:szCs w:val="32"/>
        </w:rPr>
      </w:pPr>
    </w:p>
    <w:p>
      <w:pPr>
        <w:spacing w:line="400" w:lineRule="exact"/>
        <w:ind w:firstLine="2088" w:firstLineChars="650"/>
        <w:rPr>
          <w:rFonts w:ascii="宋体" w:hAnsi="宋体" w:cs="宋体"/>
          <w:b/>
          <w:bCs/>
          <w:sz w:val="32"/>
          <w:szCs w:val="32"/>
        </w:rPr>
      </w:pPr>
      <w:r>
        <w:rPr>
          <w:rFonts w:hint="eastAsia" w:ascii="宋体" w:hAnsi="宋体" w:cs="宋体"/>
          <w:b/>
          <w:bCs/>
          <w:sz w:val="32"/>
          <w:szCs w:val="32"/>
        </w:rPr>
        <w:t>部门主要负责人审签情况：已审签</w:t>
      </w:r>
    </w:p>
    <w:p>
      <w:pPr>
        <w:spacing w:line="400" w:lineRule="exact"/>
        <w:rPr>
          <w:rFonts w:ascii="宋体" w:hAnsi="宋体" w:cs="宋体"/>
          <w:b/>
          <w:bCs/>
          <w:sz w:val="32"/>
          <w:szCs w:val="32"/>
        </w:rPr>
      </w:pPr>
      <w:r>
        <w:rPr>
          <w:rFonts w:hint="eastAsia" w:ascii="宋体" w:hAnsi="宋体" w:cs="宋体"/>
          <w:b/>
          <w:bCs/>
          <w:sz w:val="32"/>
          <w:szCs w:val="32"/>
        </w:rPr>
        <w:t xml:space="preserve"> </w:t>
      </w:r>
      <w:r>
        <w:rPr>
          <w:rFonts w:ascii="宋体" w:hAnsi="宋体" w:cs="宋体"/>
          <w:b/>
          <w:bCs/>
          <w:sz w:val="32"/>
          <w:szCs w:val="32"/>
        </w:rPr>
        <w:t xml:space="preserve">               </w:t>
      </w:r>
    </w:p>
    <w:p>
      <w:pPr>
        <w:spacing w:line="400" w:lineRule="exact"/>
        <w:rPr>
          <w:rFonts w:ascii="宋体" w:hAnsi="宋体" w:cs="宋体"/>
          <w:b/>
          <w:bCs/>
          <w:sz w:val="32"/>
          <w:szCs w:val="32"/>
        </w:rPr>
      </w:pPr>
      <w:r>
        <w:rPr>
          <w:rFonts w:hint="eastAsia" w:ascii="宋体" w:hAnsi="宋体" w:cs="宋体"/>
          <w:b/>
          <w:bCs/>
          <w:sz w:val="32"/>
          <w:szCs w:val="32"/>
        </w:rPr>
        <w:t xml:space="preserve"> </w:t>
      </w:r>
      <w:r>
        <w:rPr>
          <w:rFonts w:ascii="宋体" w:hAnsi="宋体" w:cs="宋体"/>
          <w:b/>
          <w:bCs/>
          <w:sz w:val="32"/>
          <w:szCs w:val="32"/>
        </w:rPr>
        <w:t xml:space="preserve">               </w:t>
      </w:r>
    </w:p>
    <w:p>
      <w:pPr>
        <w:jc w:val="center"/>
        <w:rPr>
          <w:rFonts w:ascii="黑体" w:hAnsi="宋体" w:eastAsia="黑体"/>
          <w:bCs/>
          <w:color w:val="000000"/>
          <w:kern w:val="0"/>
          <w:sz w:val="36"/>
          <w:szCs w:val="36"/>
        </w:rPr>
      </w:pPr>
      <w:r>
        <w:rPr>
          <w:rFonts w:ascii="黑体" w:hAnsi="宋体" w:eastAsia="黑体"/>
          <w:b/>
          <w:color w:val="000000"/>
          <w:kern w:val="0"/>
          <w:sz w:val="56"/>
          <w:szCs w:val="56"/>
        </w:rPr>
        <w:br w:type="page"/>
      </w:r>
      <w:r>
        <w:rPr>
          <w:rFonts w:ascii="黑体" w:hAnsi="宋体" w:eastAsia="黑体"/>
          <w:bCs/>
          <w:color w:val="000000"/>
          <w:kern w:val="0"/>
          <w:sz w:val="36"/>
          <w:szCs w:val="36"/>
        </w:rPr>
        <w:t>目</w:t>
      </w:r>
      <w:r>
        <w:rPr>
          <w:rFonts w:hint="eastAsia" w:ascii="黑体" w:hAnsi="宋体" w:eastAsia="黑体"/>
          <w:bCs/>
          <w:color w:val="000000"/>
          <w:kern w:val="0"/>
          <w:sz w:val="36"/>
          <w:szCs w:val="36"/>
        </w:rPr>
        <w:t xml:space="preserve">  </w:t>
      </w:r>
      <w:r>
        <w:rPr>
          <w:rFonts w:ascii="黑体" w:hAnsi="宋体" w:eastAsia="黑体"/>
          <w:bCs/>
          <w:color w:val="000000"/>
          <w:kern w:val="0"/>
          <w:sz w:val="36"/>
          <w:szCs w:val="36"/>
        </w:rPr>
        <w:t>录</w:t>
      </w:r>
    </w:p>
    <w:p>
      <w:pPr>
        <w:widowControl/>
        <w:jc w:val="center"/>
      </w:pPr>
      <w:r>
        <w:rPr>
          <w:rFonts w:hint="eastAsia" w:ascii="黑体" w:hAnsi="宋体" w:eastAsia="黑体"/>
          <w:color w:val="000000"/>
          <w:kern w:val="0"/>
          <w:sz w:val="32"/>
          <w:szCs w:val="32"/>
        </w:rPr>
        <w:t xml:space="preserve">第一部分 </w:t>
      </w:r>
      <w:r>
        <w:rPr>
          <w:rFonts w:ascii="黑体" w:hAnsi="宋体" w:eastAsia="黑体"/>
          <w:color w:val="000000"/>
          <w:kern w:val="0"/>
          <w:sz w:val="32"/>
          <w:szCs w:val="32"/>
        </w:rPr>
        <w:t xml:space="preserve"> </w:t>
      </w:r>
      <w:r>
        <w:rPr>
          <w:rFonts w:hint="eastAsia" w:ascii="黑体" w:hAnsi="宋体" w:eastAsia="黑体"/>
          <w:color w:val="000000"/>
          <w:kern w:val="0"/>
          <w:sz w:val="32"/>
          <w:szCs w:val="32"/>
        </w:rPr>
        <w:t>部门概况</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一、部门主要职责及内设机构</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二、部门决算单位构成</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三、部门人员情况</w:t>
      </w:r>
    </w:p>
    <w:p>
      <w:pPr>
        <w:widowControl/>
        <w:jc w:val="center"/>
      </w:pPr>
      <w:r>
        <w:rPr>
          <w:rFonts w:hint="eastAsia" w:ascii="黑体" w:hAnsi="宋体" w:eastAsia="黑体"/>
          <w:color w:val="000000"/>
          <w:kern w:val="0"/>
          <w:sz w:val="32"/>
          <w:szCs w:val="32"/>
        </w:rPr>
        <w:t>第二部分  2019年部门决算表</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一、收入支出决算总表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二、收入决算表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三、支出决算表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四、财政拨款收入支出决算总表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五、一般公共预算财政拨款支出决算表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六、一般公共预算财政拨款基本支出决算表    </w:t>
      </w:r>
    </w:p>
    <w:p>
      <w:pPr>
        <w:widowControl/>
        <w:ind w:left="640" w:hanging="640" w:hangingChars="200"/>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七、一般公共预算财政拨款“三公”经费及会议费、培训费支出决算表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八、政府性基金预算财政拨款收入支出决算表</w:t>
      </w:r>
    </w:p>
    <w:p>
      <w:pPr>
        <w:widowControl/>
        <w:jc w:val="center"/>
      </w:pPr>
      <w:r>
        <w:rPr>
          <w:rFonts w:hint="eastAsia" w:ascii="黑体" w:hAnsi="宋体" w:eastAsia="黑体"/>
          <w:color w:val="000000"/>
          <w:kern w:val="0"/>
          <w:sz w:val="32"/>
          <w:szCs w:val="32"/>
        </w:rPr>
        <w:t xml:space="preserve">第三部分 </w:t>
      </w:r>
      <w:r>
        <w:rPr>
          <w:rFonts w:ascii="黑体" w:hAnsi="宋体" w:eastAsia="黑体"/>
          <w:color w:val="000000"/>
          <w:kern w:val="0"/>
          <w:sz w:val="32"/>
          <w:szCs w:val="32"/>
        </w:rPr>
        <w:t xml:space="preserve"> </w:t>
      </w:r>
      <w:r>
        <w:rPr>
          <w:rFonts w:hint="eastAsia" w:ascii="黑体" w:hAnsi="宋体" w:eastAsia="黑体"/>
          <w:color w:val="000000"/>
          <w:kern w:val="0"/>
          <w:sz w:val="32"/>
          <w:szCs w:val="32"/>
        </w:rPr>
        <w:t>2019年部门决算情况说明</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一、收入支出决算总体情况说明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二、收入决算情况说明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三、支出决算情况说明    </w:t>
      </w:r>
    </w:p>
    <w:p>
      <w:pPr>
        <w:widowControl/>
        <w:jc w:val="left"/>
        <w:rPr>
          <w:rFonts w:ascii="楷体" w:hAnsi="楷体" w:eastAsia="楷体" w:cs="楷体"/>
        </w:rPr>
      </w:pPr>
      <w:r>
        <w:rPr>
          <w:rFonts w:hint="eastAsia" w:ascii="仿宋" w:hAnsi="仿宋" w:eastAsia="仿宋" w:cs="楷体"/>
          <w:color w:val="000000"/>
          <w:kern w:val="0"/>
          <w:sz w:val="32"/>
          <w:szCs w:val="32"/>
        </w:rPr>
        <w:t xml:space="preserve">四、财政拨款收入支出决算总体情况说明   </w:t>
      </w:r>
      <w:r>
        <w:rPr>
          <w:rFonts w:hint="eastAsia" w:ascii="楷体" w:hAnsi="楷体" w:eastAsia="楷体" w:cs="楷体"/>
          <w:color w:val="000000"/>
          <w:kern w:val="0"/>
          <w:sz w:val="32"/>
          <w:szCs w:val="32"/>
        </w:rPr>
        <w:t xml:space="preserve">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五、一般公共预算财政拨款支出决算情况说明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（一）财政拨款支出决算总体情况说明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（二）财政拨款支出决算具体情况说明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六、一般公共预算财政拨款基本支出决算情况说明   </w:t>
      </w:r>
    </w:p>
    <w:p>
      <w:pPr>
        <w:widowControl/>
        <w:ind w:left="640" w:hanging="640" w:hangingChars="200"/>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七、一般公共预算财政拨款“三公”经费及会议费、培训费支出决算情况说明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（一）“三公”经费财政拨款支出决算总体情况说明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（二）“三公”经费财政拨款支出决算具体情况说明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（三）培训费支出情况说明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（四）会议费支出情况说明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八、政府性基金预算财政拨款收入支出情况说明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九、国有资本经营财政拨款收入支出情况说明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十、预算绩效情况说明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（一）预算绩效管理工作开展情况说明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（二）部门决算中项目绩效自评结果</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 十一、其他重要事项说明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（一）机关运行经费支出情况说明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（二）政府采购支出情况说明 </w:t>
      </w:r>
    </w:p>
    <w:p>
      <w:pPr>
        <w:widowControl/>
        <w:jc w:val="left"/>
        <w:rPr>
          <w:rFonts w:ascii="仿宋" w:hAnsi="仿宋" w:eastAsia="仿宋" w:cs="楷体"/>
          <w:color w:val="000000"/>
          <w:kern w:val="0"/>
          <w:sz w:val="32"/>
          <w:szCs w:val="32"/>
        </w:rPr>
      </w:pPr>
      <w:r>
        <w:rPr>
          <w:rFonts w:hint="eastAsia" w:ascii="仿宋" w:hAnsi="仿宋" w:eastAsia="仿宋" w:cs="楷体"/>
          <w:color w:val="000000"/>
          <w:kern w:val="0"/>
          <w:sz w:val="32"/>
          <w:szCs w:val="32"/>
        </w:rPr>
        <w:t xml:space="preserve">（三）国有资产占用及购置情况说明 </w:t>
      </w:r>
    </w:p>
    <w:p>
      <w:pPr>
        <w:jc w:val="center"/>
        <w:rPr>
          <w:rFonts w:ascii="宋体" w:hAnsi="宋体" w:cs="宋体"/>
          <w:b/>
          <w:bCs/>
          <w:sz w:val="44"/>
          <w:szCs w:val="44"/>
        </w:rPr>
      </w:pPr>
      <w:r>
        <w:rPr>
          <w:rFonts w:hint="eastAsia" w:ascii="黑体" w:hAnsi="宋体" w:eastAsia="黑体"/>
          <w:color w:val="000000"/>
          <w:kern w:val="0"/>
          <w:sz w:val="32"/>
          <w:szCs w:val="32"/>
        </w:rPr>
        <w:t>第四部分 专业名词解释</w:t>
      </w:r>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第一部分 部门</w:t>
      </w:r>
      <w:r>
        <w:rPr>
          <w:rFonts w:ascii="黑体" w:hAnsi="宋体" w:eastAsia="黑体"/>
          <w:color w:val="000000"/>
          <w:kern w:val="0"/>
          <w:sz w:val="44"/>
          <w:szCs w:val="44"/>
        </w:rPr>
        <w:t>概况</w:t>
      </w:r>
    </w:p>
    <w:p>
      <w:pPr>
        <w:widowControl/>
        <w:ind w:firstLine="640" w:firstLineChars="200"/>
        <w:jc w:val="left"/>
        <w:rPr>
          <w:rFonts w:ascii="黑体" w:hAnsi="宋体" w:eastAsia="黑体"/>
          <w:color w:val="000000"/>
          <w:kern w:val="0"/>
          <w:sz w:val="32"/>
          <w:szCs w:val="32"/>
        </w:rPr>
      </w:pPr>
      <w:r>
        <w:rPr>
          <w:rFonts w:hint="eastAsia" w:ascii="黑体" w:hAnsi="宋体" w:eastAsia="黑体"/>
          <w:color w:val="000000"/>
          <w:kern w:val="0"/>
          <w:sz w:val="32"/>
          <w:szCs w:val="32"/>
        </w:rPr>
        <w:t>一、部门主要职责及内设机构</w:t>
      </w:r>
    </w:p>
    <w:p>
      <w:pPr>
        <w:widowControl/>
        <w:ind w:firstLine="642" w:firstLineChars="200"/>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（一）主要职责。</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杨凌示范区党工委管委会机构改革实施方案，将示范区国土资源局（不动产登记局）的职责，示范区农业局（林业局）的林业管理职责，发展和改革局的组织编制并实施主体功能区规划等相关职责，住房和城乡规划建设局的城乡规划管理、测绘管理职责，水务局的水、湿地资源调查和确权登记管理等职责整合，组建示范区自然资源和规划局，作为管委会工作部门，加挂示范区不动产登记局牌子,相关内设机构随之调整。</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1.履行全民所有土地、矿产、森林、草原、湿地、水等自然资源资产所有者职责和所有国土空间用途管制职责。贯彻执行国家有关自然资源和国土空间规划及测绘等法律法规规章、标准规范规程、战略规划政策，拟订示范区自然资源和国土空间规划等规范性文件，建立示范区自然资源和国土空间规划等标准体系、规范规程并监督检查执行情况。</w:t>
      </w:r>
      <w:r>
        <w:rPr>
          <w:rFonts w:hint="eastAsia" w:eastAsia="仿宋_GB2312"/>
          <w:sz w:val="32"/>
          <w:szCs w:val="32"/>
        </w:rPr>
        <w:t>指导杨陵区相关工作。</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2.负责自然资源调查监测评价。贯彻执行示范区自然资源调查监测评价的指标体系和统计标准，建立统一规范的自然资源调查监测评价制度。实施自然资源基础调查、专项调查和监测。负责自然资源调查监测评价成果的监督管理和信息发布。指导杨陵区自然资源调查监测评价工作。做好测绘地理信息管理有关工作。</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3.负责自然资源统一确权登记工作。贯彻执行并制定示范区各类自然资源和不动产统一确权登记、权籍调查、不动产测绘、争议调处、成果应用的制度、标准、规范。建立健全示范区自然资源和不动产登记信息管理基础平台。负责示范区自然资源和不动产登记资料收集、整理、共享、汇交管理等。指导监督杨陵区自然资源和不动产登记确权登记工作。</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4.负责自然资源资产有偿使用工作。贯彻执行全民所有自然资源资产统计制度，负责全民所有自然资源资产核算。编制全民所有自然资源资产负债表，拟订考核标准。执行全民所有自然资源资产划拨、出让、租赁、作价出资、转让和土地储备政策，合理配置全民所有自然资源资产。建立基准地价、标定地价等政府公示地价制度，实施基准地价定期更新，监督管理房地产开发用地和农村集体建设用地使用权的流转。依法收缴相关资产收益。</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5.负责自然资源的合理开发利用。贯彻执行自然资源发展规划和战略，制定自然资源开发利用标准并组织实施，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6.负责建立空间规划体系并监督实施。推进落实主体功能区战略和制度，组织编制并监督实施国土空间规划和相关专项规划。开展国土空间开发适宜性评价，建立国土空间规划实施监测、评估和预警体系。组织划定生态保护红线、永久性基本农田、城镇开发边界等控制线，构建节约资源和保护环境的生产、生活、生态空间布局。贯彻落实国土空间用途管制制度，研究拟订城乡规划政策并监督实施。组织拟订并实施土地等自然资源年度利用计划。负责土地等国土空间用途转用工作，负责土地征收征用管理。</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7.负责统筹国土空间生态修复。牵头组织编制示范区国土空间生态修复规划并实施有关生态修复重大工程。负责国土空间综合整治、土地整理复垦、矿山地质环境恢复治理等工作。牵头建立和实施生态保护补偿制度，制定合理利用社会资金进行生态修复的政策措施，提出重大备选项目。</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8.负责组织实施最严格的耕地保护制度。贯彻执行国家、全省有关耕地保护政策，负责耕地数量、质量和生态保护。组织实施耕地保护责任目标考核和永久基本农田特殊保护。落实耕地占补平衡制度，监督占用耕地补偿制度执行情况。</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9.负责管理示范区地质勘查行业和地质工作。编制示范区地质勘查规划并监督检查执行情况</w:t>
      </w:r>
      <w:r>
        <w:rPr>
          <w:rFonts w:hint="eastAsia" w:ascii="仿宋_GB2312" w:hAnsi="仿宋" w:eastAsia="仿宋_GB2312"/>
          <w:color w:val="000000"/>
          <w:sz w:val="32"/>
          <w:szCs w:val="32"/>
        </w:rPr>
        <w:t>。组织实施地质调查和矿产资源勘查，管理地质勘查项目。负责监督管理地下水过量开采及引发的地面沉降等地质问题。</w:t>
      </w:r>
      <w:r>
        <w:rPr>
          <w:rFonts w:hint="eastAsia" w:ascii="仿宋_GB2312" w:hAnsi="仿宋" w:eastAsia="仿宋_GB2312"/>
          <w:snapToGrid w:val="0"/>
          <w:color w:val="000000"/>
          <w:kern w:val="0"/>
          <w:sz w:val="32"/>
          <w:szCs w:val="32"/>
        </w:rPr>
        <w:t>负责古生物化石的监督管理。</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10.负责矿产资源管理工作。负责矿产资源储量及压覆矿产资源管理。负责矿业权管理。会同有关部门承担保护性开采的特定矿种、优势矿产的调控及相关管理工作，编制并实施矿业权设置方案，积极开展资源整合，有序利用；组织实施示范区矿产资源储量的登记、统计、核实、评审及报告备案工作，对建设项目压覆矿产资源进行审查和备案；承担示范区地质资料的汇交和管理；组织开展示范区矿产资源供需形势分析，拟订示范区矿产资源规划。配合做好矿产资源有关行业安全生产工作。</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11.负责测绘地理信息管理工作。负责基础测绘和测绘行业管理。负责测绘资质资格与信用管理，监督管理地理信息安全和市场秩序。负责地理信息公共服务的地图管理。组织实施地方测量标志的设立和保护。</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12.推进自然资源领域科技发展。贯彻执行国家、省上有关技术标准、规程规范并监督实施。贯彻执行中、省有关自然资源领域科技发展和人才培养战略、规划和计划，组织实施重大科技工程及创新能力建设，推进自然资源信息化和信息资料的公共服务。组织开展自然资源合作交流和科学技术研究。指导示范区自然资源人才队伍建设等工作。</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13.根据授权对杨陵区人民政府落实中、省、示范区关于自然资源和国土空间规划的重大方针政策、决策部署及法律法规执行情况进行督察。查处自然资源开发利用和国土空间规划等重大违法案件。指导杨陵区自然资源和规划有关行政执法工作。</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14.</w:t>
      </w:r>
      <w:r>
        <w:rPr>
          <w:rFonts w:hint="eastAsia" w:ascii="仿宋_GB2312" w:eastAsia="仿宋_GB2312"/>
          <w:sz w:val="32"/>
          <w:szCs w:val="32"/>
        </w:rPr>
        <w:t>负责全区林业生态保护修复的监督管理。组织全区造林绿化工作。组织编制并监督执行全区森林采伐限额，监督检查林木凭证采伐、运输。负责全区陆生野生动植物资源保护和合理开发利用。负责推进全区林业改革。制订全区林业资源优化配置及木材利用措施并组织实施。贯彻执行国家森林火灾防治规划和防护标准，指导开展防火巡护、火源管理、防火设施建设工作。监督管理全区林业和草原资产和建设资金。</w:t>
      </w:r>
    </w:p>
    <w:p>
      <w:pPr>
        <w:adjustRightInd w:val="0"/>
        <w:snapToGrid w:val="0"/>
        <w:spacing w:line="600" w:lineRule="exact"/>
        <w:ind w:firstLine="64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15.负责示范区易地扶贫搬迁工作。</w:t>
      </w:r>
    </w:p>
    <w:p>
      <w:pPr>
        <w:adjustRightInd w:val="0"/>
        <w:snapToGrid w:val="0"/>
        <w:spacing w:line="600" w:lineRule="exact"/>
        <w:ind w:firstLine="640"/>
        <w:rPr>
          <w:rFonts w:hint="eastAsia"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16.完成示范区党工委、管委会交办的其他任务。</w:t>
      </w:r>
    </w:p>
    <w:p>
      <w:pPr>
        <w:widowControl/>
        <w:ind w:firstLine="642" w:firstLineChars="200"/>
        <w:jc w:val="left"/>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（二）内设机构。</w:t>
      </w:r>
    </w:p>
    <w:p>
      <w:pPr>
        <w:spacing w:line="360" w:lineRule="auto"/>
        <w:ind w:firstLine="640"/>
        <w:rPr>
          <w:rFonts w:ascii="仿宋" w:hAnsi="仿宋" w:eastAsia="仿宋" w:cs="仿宋"/>
          <w:b/>
          <w:sz w:val="32"/>
          <w:szCs w:val="32"/>
        </w:rPr>
      </w:pPr>
      <w:r>
        <w:rPr>
          <w:rFonts w:hint="eastAsia" w:ascii="仿宋_GB2312" w:eastAsia="仿宋_GB2312"/>
          <w:sz w:val="32"/>
          <w:szCs w:val="32"/>
        </w:rPr>
        <w:t>局机关下设综合办公室、国土空间规划科、自然资源开发利用科和自然资源调查和督察监督科（示范区自然资源总督察办公室）四个内设科室</w:t>
      </w:r>
      <w:r>
        <w:rPr>
          <w:rFonts w:hint="eastAsia" w:ascii="仿宋" w:hAnsi="仿宋" w:eastAsia="仿宋" w:cs="仿宋"/>
          <w:b/>
          <w:sz w:val="32"/>
          <w:szCs w:val="32"/>
        </w:rPr>
        <w:t>。</w:t>
      </w:r>
    </w:p>
    <w:p>
      <w:pPr>
        <w:widowControl/>
        <w:ind w:firstLine="640" w:firstLineChars="200"/>
        <w:jc w:val="left"/>
      </w:pPr>
      <w:r>
        <w:rPr>
          <w:rFonts w:ascii="黑体" w:hAnsi="宋体" w:eastAsia="黑体"/>
          <w:color w:val="000000"/>
          <w:kern w:val="0"/>
          <w:sz w:val="32"/>
          <w:szCs w:val="32"/>
        </w:rPr>
        <w:t>二、</w:t>
      </w:r>
      <w:r>
        <w:rPr>
          <w:rFonts w:hint="eastAsia" w:ascii="黑体" w:hAnsi="宋体" w:eastAsia="黑体"/>
          <w:color w:val="000000"/>
          <w:kern w:val="0"/>
          <w:sz w:val="32"/>
          <w:szCs w:val="32"/>
        </w:rPr>
        <w:t>部门决算单位构成</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纳入本部门201</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年部门决算编制范围的二级决算单位共有3个，包括：</w:t>
      </w:r>
    </w:p>
    <w:tbl>
      <w:tblPr>
        <w:tblStyle w:val="7"/>
        <w:tblW w:w="0" w:type="auto"/>
        <w:tblInd w:w="-33" w:type="dxa"/>
        <w:tblLayout w:type="fixed"/>
        <w:tblCellMar>
          <w:top w:w="0" w:type="dxa"/>
          <w:left w:w="108" w:type="dxa"/>
          <w:bottom w:w="0" w:type="dxa"/>
          <w:right w:w="108" w:type="dxa"/>
        </w:tblCellMar>
      </w:tblPr>
      <w:tblGrid>
        <w:gridCol w:w="1050"/>
        <w:gridCol w:w="7470"/>
      </w:tblGrid>
      <w:tr>
        <w:tblPrEx>
          <w:tblCellMar>
            <w:top w:w="0" w:type="dxa"/>
            <w:left w:w="108" w:type="dxa"/>
            <w:bottom w:w="0" w:type="dxa"/>
            <w:right w:w="108" w:type="dxa"/>
          </w:tblCellMar>
        </w:tblPrEx>
        <w:tc>
          <w:tcPr>
            <w:tcW w:w="1050"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vAlign w:val="center"/>
          </w:tcPr>
          <w:p>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ascii="仿宋_GB2312" w:hAnsi="仿宋_GB2312" w:eastAsia="仿宋_GB2312" w:cs="仿宋_GB2312"/>
                <w:b/>
                <w:bCs/>
                <w:sz w:val="32"/>
                <w:szCs w:val="32"/>
              </w:rPr>
              <w:t>序号</w:t>
            </w:r>
          </w:p>
        </w:tc>
        <w:tc>
          <w:tcPr>
            <w:tcW w:w="7470" w:type="dxa"/>
            <w:tcBorders>
              <w:top w:val="single" w:color="000000" w:sz="6" w:space="0"/>
              <w:bottom w:val="single" w:color="888888" w:sz="6" w:space="0"/>
              <w:right w:val="single" w:color="888888" w:sz="6" w:space="0"/>
            </w:tcBorders>
            <w:shd w:val="solid" w:color="FFFFFF" w:fill="auto"/>
            <w:tcMar>
              <w:top w:w="75" w:type="dxa"/>
              <w:left w:w="75" w:type="dxa"/>
              <w:bottom w:w="75" w:type="dxa"/>
              <w:right w:w="75" w:type="dxa"/>
            </w:tcMar>
            <w:vAlign w:val="center"/>
          </w:tcPr>
          <w:p>
            <w:pPr>
              <w:spacing w:line="56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ascii="仿宋_GB2312" w:hAnsi="仿宋_GB2312" w:eastAsia="仿宋_GB2312" w:cs="仿宋_GB2312"/>
                <w:b/>
                <w:bCs/>
                <w:sz w:val="32"/>
                <w:szCs w:val="32"/>
              </w:rPr>
              <w:t>单</w:t>
            </w:r>
            <w:r>
              <w:rPr>
                <w:rFonts w:hint="eastAsia" w:ascii="仿宋_GB2312" w:hAnsi="仿宋_GB2312" w:eastAsia="仿宋_GB2312" w:cs="仿宋_GB2312"/>
                <w:b/>
                <w:bCs/>
                <w:sz w:val="32"/>
                <w:szCs w:val="32"/>
              </w:rPr>
              <w:t xml:space="preserve"> </w:t>
            </w:r>
            <w:r>
              <w:rPr>
                <w:rFonts w:ascii="仿宋_GB2312" w:hAnsi="仿宋_GB2312" w:eastAsia="仿宋_GB2312" w:cs="仿宋_GB2312"/>
                <w:b/>
                <w:bCs/>
                <w:sz w:val="32"/>
                <w:szCs w:val="32"/>
              </w:rPr>
              <w:t>位</w:t>
            </w:r>
            <w:r>
              <w:rPr>
                <w:rFonts w:hint="eastAsia" w:ascii="仿宋_GB2312" w:hAnsi="仿宋_GB2312" w:eastAsia="仿宋_GB2312" w:cs="仿宋_GB2312"/>
                <w:b/>
                <w:bCs/>
                <w:sz w:val="32"/>
                <w:szCs w:val="32"/>
              </w:rPr>
              <w:t xml:space="preserve"> </w:t>
            </w:r>
            <w:r>
              <w:rPr>
                <w:rFonts w:ascii="仿宋_GB2312" w:hAnsi="仿宋_GB2312" w:eastAsia="仿宋_GB2312" w:cs="仿宋_GB2312"/>
                <w:b/>
                <w:bCs/>
                <w:sz w:val="32"/>
                <w:szCs w:val="32"/>
              </w:rPr>
              <w:t>名</w:t>
            </w:r>
            <w:r>
              <w:rPr>
                <w:rFonts w:hint="eastAsia" w:ascii="仿宋_GB2312" w:hAnsi="仿宋_GB2312" w:eastAsia="仿宋_GB2312" w:cs="仿宋_GB2312"/>
                <w:b/>
                <w:bCs/>
                <w:sz w:val="32"/>
                <w:szCs w:val="32"/>
              </w:rPr>
              <w:t xml:space="preserve"> </w:t>
            </w:r>
            <w:r>
              <w:rPr>
                <w:rFonts w:ascii="仿宋_GB2312" w:hAnsi="仿宋_GB2312" w:eastAsia="仿宋_GB2312" w:cs="仿宋_GB2312"/>
                <w:b/>
                <w:bCs/>
                <w:sz w:val="32"/>
                <w:szCs w:val="32"/>
              </w:rPr>
              <w:t>称</w:t>
            </w:r>
          </w:p>
        </w:tc>
      </w:tr>
      <w:tr>
        <w:tblPrEx>
          <w:tblCellMar>
            <w:top w:w="0" w:type="dxa"/>
            <w:left w:w="108" w:type="dxa"/>
            <w:bottom w:w="0" w:type="dxa"/>
            <w:right w:w="108" w:type="dxa"/>
          </w:tblCellMar>
        </w:tblPrEx>
        <w:tc>
          <w:tcPr>
            <w:tcW w:w="1050" w:type="dxa"/>
            <w:tcBorders>
              <w:left w:val="single" w:color="000000" w:sz="6" w:space="0"/>
              <w:bottom w:val="single" w:color="888888" w:sz="6" w:space="0"/>
              <w:right w:val="single" w:color="888888" w:sz="6" w:space="0"/>
            </w:tcBorders>
            <w:shd w:val="solid" w:color="FFFFFF" w:fill="auto"/>
            <w:tcMar>
              <w:top w:w="75" w:type="dxa"/>
              <w:left w:w="75" w:type="dxa"/>
              <w:bottom w:w="75" w:type="dxa"/>
              <w:right w:w="75" w:type="dxa"/>
            </w:tcMar>
          </w:tcPr>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7470" w:type="dxa"/>
            <w:tcBorders>
              <w:bottom w:val="single" w:color="888888" w:sz="6" w:space="0"/>
              <w:right w:val="single" w:color="888888" w:sz="6" w:space="0"/>
            </w:tcBorders>
            <w:shd w:val="solid" w:color="FFFFFF" w:fill="auto"/>
            <w:tcMar>
              <w:top w:w="75" w:type="dxa"/>
              <w:left w:w="75" w:type="dxa"/>
              <w:bottom w:w="75" w:type="dxa"/>
              <w:right w:w="75" w:type="dxa"/>
            </w:tcMar>
            <w:vAlign w:val="center"/>
          </w:tcPr>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杨凌示范区</w:t>
            </w:r>
            <w:r>
              <w:rPr>
                <w:rFonts w:hint="eastAsia" w:ascii="仿宋_GB2312" w:hAnsi="仿宋_GB2312" w:eastAsia="仿宋_GB2312" w:cs="仿宋_GB2312"/>
                <w:sz w:val="32"/>
                <w:szCs w:val="32"/>
              </w:rPr>
              <w:t>自然</w:t>
            </w:r>
            <w:r>
              <w:rPr>
                <w:rFonts w:ascii="仿宋_GB2312" w:hAnsi="仿宋_GB2312" w:eastAsia="仿宋_GB2312" w:cs="仿宋_GB2312"/>
                <w:sz w:val="32"/>
                <w:szCs w:val="32"/>
              </w:rPr>
              <w:t>资源和规划局本级（机关）</w:t>
            </w:r>
          </w:p>
        </w:tc>
      </w:tr>
      <w:tr>
        <w:tblPrEx>
          <w:tblCellMar>
            <w:top w:w="0" w:type="dxa"/>
            <w:left w:w="108" w:type="dxa"/>
            <w:bottom w:w="0" w:type="dxa"/>
            <w:right w:w="108" w:type="dxa"/>
          </w:tblCellMar>
        </w:tblPrEx>
        <w:tc>
          <w:tcPr>
            <w:tcW w:w="1050" w:type="dxa"/>
            <w:tcBorders>
              <w:left w:val="single" w:color="000000" w:sz="6" w:space="0"/>
              <w:bottom w:val="single" w:color="888888" w:sz="6" w:space="0"/>
              <w:right w:val="single" w:color="888888" w:sz="6" w:space="0"/>
            </w:tcBorders>
            <w:shd w:val="solid" w:color="FFFFFF" w:fill="auto"/>
            <w:tcMar>
              <w:top w:w="75" w:type="dxa"/>
              <w:left w:w="75" w:type="dxa"/>
              <w:bottom w:w="75" w:type="dxa"/>
              <w:right w:w="75" w:type="dxa"/>
            </w:tcMar>
          </w:tcPr>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7470" w:type="dxa"/>
            <w:tcBorders>
              <w:bottom w:val="single" w:color="888888" w:sz="6" w:space="0"/>
              <w:right w:val="single" w:color="888888" w:sz="6" w:space="0"/>
            </w:tcBorders>
            <w:shd w:val="solid" w:color="FFFFFF" w:fill="auto"/>
            <w:tcMar>
              <w:top w:w="75" w:type="dxa"/>
              <w:left w:w="75" w:type="dxa"/>
              <w:bottom w:w="75" w:type="dxa"/>
              <w:right w:w="75" w:type="dxa"/>
            </w:tcMar>
            <w:vAlign w:val="center"/>
          </w:tcPr>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杨凌示范区土地收购储备中心</w:t>
            </w:r>
          </w:p>
        </w:tc>
      </w:tr>
      <w:tr>
        <w:tblPrEx>
          <w:tblCellMar>
            <w:top w:w="0" w:type="dxa"/>
            <w:left w:w="108" w:type="dxa"/>
            <w:bottom w:w="0" w:type="dxa"/>
            <w:right w:w="108" w:type="dxa"/>
          </w:tblCellMar>
        </w:tblPrEx>
        <w:tc>
          <w:tcPr>
            <w:tcW w:w="1050" w:type="dxa"/>
            <w:tcBorders>
              <w:left w:val="single" w:color="000000" w:sz="6" w:space="0"/>
              <w:bottom w:val="single" w:color="888888" w:sz="6" w:space="0"/>
              <w:right w:val="single" w:color="888888" w:sz="6" w:space="0"/>
            </w:tcBorders>
            <w:shd w:val="solid" w:color="FFFFFF" w:fill="auto"/>
            <w:tcMar>
              <w:top w:w="75" w:type="dxa"/>
              <w:left w:w="75" w:type="dxa"/>
              <w:bottom w:w="75" w:type="dxa"/>
              <w:right w:w="75" w:type="dxa"/>
            </w:tcMar>
          </w:tcPr>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p>
        </w:tc>
        <w:tc>
          <w:tcPr>
            <w:tcW w:w="7470" w:type="dxa"/>
            <w:tcBorders>
              <w:bottom w:val="single" w:color="888888" w:sz="6" w:space="0"/>
              <w:right w:val="single" w:color="888888" w:sz="6" w:space="0"/>
            </w:tcBorders>
            <w:shd w:val="solid" w:color="FFFFFF" w:fill="auto"/>
            <w:tcMar>
              <w:top w:w="75" w:type="dxa"/>
              <w:left w:w="75" w:type="dxa"/>
              <w:bottom w:w="75" w:type="dxa"/>
              <w:right w:w="75" w:type="dxa"/>
            </w:tcMar>
            <w:vAlign w:val="center"/>
          </w:tcPr>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杨凌示范区国土资源执法监察支队</w:t>
            </w:r>
          </w:p>
        </w:tc>
      </w:tr>
      <w:tr>
        <w:tblPrEx>
          <w:tblCellMar>
            <w:top w:w="0" w:type="dxa"/>
            <w:left w:w="108" w:type="dxa"/>
            <w:bottom w:w="0" w:type="dxa"/>
            <w:right w:w="108" w:type="dxa"/>
          </w:tblCellMar>
        </w:tblPrEx>
        <w:tc>
          <w:tcPr>
            <w:tcW w:w="1050" w:type="dxa"/>
            <w:tcBorders>
              <w:left w:val="single" w:color="000000" w:sz="6" w:space="0"/>
              <w:bottom w:val="single" w:color="888888" w:sz="6" w:space="0"/>
              <w:right w:val="single" w:color="888888" w:sz="6" w:space="0"/>
            </w:tcBorders>
            <w:shd w:val="solid" w:color="FFFFFF" w:fill="auto"/>
            <w:tcMar>
              <w:top w:w="75" w:type="dxa"/>
              <w:left w:w="75" w:type="dxa"/>
              <w:bottom w:w="75" w:type="dxa"/>
              <w:right w:w="75" w:type="dxa"/>
            </w:tcMar>
          </w:tcPr>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p>
        </w:tc>
        <w:tc>
          <w:tcPr>
            <w:tcW w:w="7470" w:type="dxa"/>
            <w:tcBorders>
              <w:bottom w:val="single" w:color="888888" w:sz="6" w:space="0"/>
              <w:right w:val="single" w:color="888888" w:sz="6" w:space="0"/>
            </w:tcBorders>
            <w:shd w:val="solid" w:color="FFFFFF" w:fill="auto"/>
            <w:tcMar>
              <w:top w:w="75" w:type="dxa"/>
              <w:left w:w="75" w:type="dxa"/>
              <w:bottom w:w="75" w:type="dxa"/>
              <w:right w:w="75" w:type="dxa"/>
            </w:tcMar>
            <w:vAlign w:val="center"/>
          </w:tcPr>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杨凌示范区不动产登记交易服务中心</w:t>
            </w:r>
          </w:p>
        </w:tc>
      </w:tr>
    </w:tbl>
    <w:p>
      <w:pPr>
        <w:ind w:firstLine="640"/>
        <w:rPr>
          <w:rFonts w:ascii="黑体" w:hAnsi="黑体" w:eastAsia="黑体"/>
          <w:bCs/>
          <w:sz w:val="32"/>
          <w:szCs w:val="32"/>
        </w:rPr>
      </w:pPr>
      <w:r>
        <w:rPr>
          <w:rFonts w:hint="eastAsia" w:ascii="黑体" w:hAnsi="黑体" w:eastAsia="黑体"/>
          <w:bCs/>
          <w:sz w:val="32"/>
          <w:szCs w:val="32"/>
        </w:rPr>
        <w:t>三、部门人员情况</w:t>
      </w:r>
    </w:p>
    <w:p>
      <w:pPr>
        <w:widowControl/>
        <w:ind w:firstLine="640"/>
        <w:rPr>
          <w:rFonts w:ascii="仿宋_GB2312" w:hAnsi="仿宋_GB2312" w:eastAsia="仿宋_GB2312" w:cs="仿宋_GB2312"/>
          <w:sz w:val="32"/>
          <w:szCs w:val="32"/>
        </w:rPr>
      </w:pPr>
      <w:r>
        <w:rPr>
          <w:rFonts w:ascii="仿宋_GB2312" w:hAnsi="仿宋_GB2312" w:eastAsia="仿宋_GB2312" w:cs="仿宋_GB2312"/>
          <w:sz w:val="32"/>
          <w:szCs w:val="32"/>
        </w:rPr>
        <w:t>截止201</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年底，部门所属单位，本部门人员编制</w:t>
      </w:r>
      <w:r>
        <w:rPr>
          <w:rFonts w:hint="eastAsia" w:ascii="仿宋_GB2312" w:hAnsi="仿宋_GB2312" w:eastAsia="仿宋_GB2312" w:cs="仿宋_GB2312"/>
          <w:sz w:val="32"/>
          <w:szCs w:val="32"/>
        </w:rPr>
        <w:t>28</w:t>
      </w:r>
      <w:r>
        <w:rPr>
          <w:rFonts w:ascii="仿宋_GB2312" w:hAnsi="仿宋_GB2312" w:eastAsia="仿宋_GB2312" w:cs="仿宋_GB2312"/>
          <w:sz w:val="32"/>
          <w:szCs w:val="32"/>
        </w:rPr>
        <w:t>人，其中</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行政编制4人、聘任制人员</w:t>
      </w:r>
      <w:r>
        <w:rPr>
          <w:rFonts w:hint="eastAsia" w:ascii="仿宋_GB2312" w:hAnsi="仿宋_GB2312" w:eastAsia="仿宋_GB2312" w:cs="仿宋_GB2312"/>
          <w:sz w:val="32"/>
          <w:szCs w:val="32"/>
        </w:rPr>
        <w:t>8人、</w:t>
      </w:r>
      <w:r>
        <w:rPr>
          <w:rFonts w:ascii="仿宋_GB2312" w:hAnsi="仿宋_GB2312" w:eastAsia="仿宋_GB2312" w:cs="仿宋_GB2312"/>
          <w:sz w:val="32"/>
          <w:szCs w:val="32"/>
        </w:rPr>
        <w:t>事业编制16人；实有在职人员</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人，其中行政</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人、事业5人。</w:t>
      </w:r>
    </w:p>
    <w:p>
      <w:pPr>
        <w:widowControl/>
        <w:ind w:firstLine="640"/>
        <w:jc w:val="center"/>
        <w:rPr>
          <w:rFonts w:ascii="黑体" w:hAnsi="宋体" w:eastAsia="黑体"/>
          <w:color w:val="000000"/>
          <w:kern w:val="0"/>
          <w:sz w:val="44"/>
          <w:szCs w:val="44"/>
        </w:rPr>
      </w:pPr>
      <w:r>
        <w:drawing>
          <wp:inline distT="0" distB="0" distL="114300" distR="114300">
            <wp:extent cx="3610610" cy="2223770"/>
            <wp:effectExtent l="4445" t="4445" r="23495" b="1968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widowControl/>
        <w:jc w:val="center"/>
        <w:rPr>
          <w:sz w:val="44"/>
          <w:szCs w:val="44"/>
        </w:rPr>
      </w:pPr>
      <w:r>
        <w:rPr>
          <w:rFonts w:ascii="黑体" w:hAnsi="宋体" w:eastAsia="黑体"/>
          <w:color w:val="000000"/>
          <w:kern w:val="0"/>
          <w:sz w:val="44"/>
          <w:szCs w:val="44"/>
        </w:rPr>
        <w:t>第二部分 2019年度部门决算表</w:t>
      </w:r>
    </w:p>
    <w:tbl>
      <w:tblPr>
        <w:tblStyle w:val="7"/>
        <w:tblpPr w:leftFromText="180" w:rightFromText="180" w:vertAnchor="text" w:horzAnchor="page" w:tblpX="1472" w:tblpY="1123"/>
        <w:tblOverlap w:val="never"/>
        <w:tblW w:w="9000" w:type="dxa"/>
        <w:tblInd w:w="0" w:type="dxa"/>
        <w:tblLayout w:type="fixed"/>
        <w:tblCellMar>
          <w:top w:w="0" w:type="dxa"/>
          <w:left w:w="0" w:type="dxa"/>
          <w:bottom w:w="0" w:type="dxa"/>
          <w:right w:w="0" w:type="dxa"/>
        </w:tblCellMar>
      </w:tblPr>
      <w:tblGrid>
        <w:gridCol w:w="735"/>
        <w:gridCol w:w="4110"/>
        <w:gridCol w:w="1047"/>
        <w:gridCol w:w="3108"/>
      </w:tblGrid>
      <w:tr>
        <w:tblPrEx>
          <w:tblCellMar>
            <w:top w:w="0" w:type="dxa"/>
            <w:left w:w="0" w:type="dxa"/>
            <w:bottom w:w="0" w:type="dxa"/>
            <w:right w:w="0" w:type="dxa"/>
          </w:tblCellMar>
        </w:tblPrEx>
        <w:trPr>
          <w:trHeight w:val="6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表1</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表2</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收入决算表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表3</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支出决算表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表4</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财政拨款收入支出决算总表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表5</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一般公共预算财政拨款支出决算表</w:t>
            </w:r>
          </w:p>
          <w:p>
            <w:pPr>
              <w:widowControl/>
              <w:jc w:val="left"/>
              <w:rPr>
                <w:rFonts w:ascii="宋体" w:hAnsi="宋体" w:cs="宋体"/>
                <w:color w:val="000000"/>
                <w:kern w:val="0"/>
                <w:sz w:val="24"/>
              </w:rPr>
            </w:pPr>
            <w:r>
              <w:rPr>
                <w:rFonts w:hint="eastAsia" w:ascii="宋体" w:hAnsi="宋体" w:cs="宋体"/>
                <w:color w:val="000000"/>
                <w:kern w:val="0"/>
                <w:sz w:val="24"/>
              </w:rPr>
              <w:t>（按功能分类科目）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表6</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一般公共预算财政拨款基本支出决算表 （按经济分类科目）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表7</w:t>
            </w:r>
          </w:p>
        </w:tc>
        <w:tc>
          <w:tcPr>
            <w:tcW w:w="4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一般公共预算财政拨款“三公”经费及会议费、培训费支出决算表</w:t>
            </w:r>
          </w:p>
        </w:tc>
        <w:tc>
          <w:tcPr>
            <w:tcW w:w="10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表8</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政府性基金预算财政拨款收入支出</w:t>
            </w:r>
          </w:p>
          <w:p>
            <w:pPr>
              <w:widowControl/>
              <w:jc w:val="left"/>
              <w:rPr>
                <w:rFonts w:ascii="宋体" w:hAnsi="宋体" w:cs="宋体"/>
                <w:color w:val="000000"/>
                <w:sz w:val="24"/>
              </w:rPr>
            </w:pPr>
            <w:r>
              <w:rPr>
                <w:rFonts w:hint="eastAsia" w:ascii="宋体" w:hAnsi="宋体" w:cs="宋体"/>
                <w:color w:val="000000"/>
                <w:kern w:val="0"/>
                <w:sz w:val="24"/>
              </w:rPr>
              <w:t>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24"/>
                <w:lang w:eastAsia="zh-CN"/>
              </w:rPr>
            </w:pP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cs="宋体"/>
          <w:b/>
          <w:bCs/>
          <w:sz w:val="32"/>
          <w:szCs w:val="32"/>
        </w:rPr>
      </w:pPr>
      <w:r>
        <w:rPr>
          <w:rFonts w:hint="eastAsia" w:ascii="宋体" w:hAnsi="宋体" w:cs="宋体"/>
          <w:b/>
          <w:bCs/>
          <w:sz w:val="32"/>
          <w:szCs w:val="32"/>
        </w:rPr>
        <w:t>收入支出决算总表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公开01表</w:t>
      </w:r>
    </w:p>
    <w:p>
      <w:pPr>
        <w:rPr>
          <w:rFonts w:ascii="宋体" w:hAnsi="宋体" w:cs="宋体"/>
          <w:b/>
          <w:bCs/>
          <w:szCs w:val="21"/>
        </w:rPr>
      </w:pPr>
      <w:r>
        <w:rPr>
          <w:rFonts w:hint="eastAsia" w:ascii="宋体" w:hAnsi="宋体" w:cs="宋体"/>
          <w:b/>
          <w:bCs/>
          <w:szCs w:val="21"/>
        </w:rPr>
        <w:t>编制部门：</w:t>
      </w:r>
      <w:r>
        <w:rPr>
          <w:rFonts w:hint="eastAsia" w:ascii="宋体" w:hAnsi="宋体" w:cs="宋体"/>
          <w:b/>
          <w:bCs/>
          <w:szCs w:val="21"/>
          <w:lang w:eastAsia="zh-CN"/>
        </w:rPr>
        <w:t>杨凌示范区自然资源和规划局</w:t>
      </w:r>
      <w:r>
        <w:rPr>
          <w:rFonts w:hint="eastAsia" w:ascii="宋体" w:hAnsi="宋体" w:cs="宋体"/>
          <w:b/>
          <w:bCs/>
          <w:szCs w:val="21"/>
        </w:rPr>
        <w:t xml:space="preserve">                                  金额单位：万元</w:t>
      </w:r>
    </w:p>
    <w:tbl>
      <w:tblPr>
        <w:tblStyle w:val="7"/>
        <w:tblW w:w="9204" w:type="dxa"/>
        <w:tblInd w:w="0" w:type="dxa"/>
        <w:tblLayout w:type="fixed"/>
        <w:tblCellMar>
          <w:top w:w="15" w:type="dxa"/>
          <w:left w:w="15" w:type="dxa"/>
          <w:bottom w:w="15" w:type="dxa"/>
          <w:right w:w="15" w:type="dxa"/>
        </w:tblCellMar>
      </w:tblPr>
      <w:tblGrid>
        <w:gridCol w:w="3009"/>
        <w:gridCol w:w="1459"/>
        <w:gridCol w:w="3090"/>
        <w:gridCol w:w="164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收    入</w:t>
            </w:r>
          </w:p>
        </w:tc>
        <w:tc>
          <w:tcPr>
            <w:tcW w:w="47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支    出</w:t>
            </w:r>
          </w:p>
        </w:tc>
      </w:tr>
      <w:tr>
        <w:tblPrEx>
          <w:tblCellMar>
            <w:top w:w="15" w:type="dxa"/>
            <w:left w:w="15" w:type="dxa"/>
            <w:bottom w:w="15" w:type="dxa"/>
            <w:right w:w="15" w:type="dxa"/>
          </w:tblCellMar>
        </w:tblPrEx>
        <w:trPr>
          <w:trHeight w:val="378"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r>
      <w:tr>
        <w:tblPrEx>
          <w:tblCellMar>
            <w:top w:w="15" w:type="dxa"/>
            <w:left w:w="15" w:type="dxa"/>
            <w:bottom w:w="15" w:type="dxa"/>
            <w:right w:w="15" w:type="dxa"/>
          </w:tblCellMar>
        </w:tblPrEx>
        <w:trPr>
          <w:trHeight w:val="300"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1、一般公共预算财政拨款</w:t>
            </w: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416</w:t>
            </w:r>
            <w:r>
              <w:rPr>
                <w:rFonts w:hint="eastAsia" w:ascii="宋体" w:hAnsi="宋体" w:cs="宋体"/>
                <w:color w:val="000000"/>
                <w:szCs w:val="21"/>
                <w:lang w:val="en-US" w:eastAsia="zh-CN"/>
              </w:rPr>
              <w:t>.</w:t>
            </w:r>
            <w:r>
              <w:rPr>
                <w:rFonts w:hint="eastAsia" w:ascii="宋体" w:hAnsi="宋体" w:cs="宋体"/>
                <w:color w:val="000000"/>
                <w:szCs w:val="21"/>
              </w:rPr>
              <w:t>35214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1、一般公共服务支出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00"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2、政府性基金预算财政拨款</w:t>
            </w: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132456</w:t>
            </w:r>
            <w:r>
              <w:rPr>
                <w:rFonts w:hint="eastAsia" w:ascii="宋体" w:hAnsi="宋体" w:cs="宋体"/>
                <w:color w:val="000000"/>
                <w:szCs w:val="21"/>
                <w:lang w:val="en-US" w:eastAsia="zh-CN"/>
              </w:rPr>
              <w:t>.</w:t>
            </w:r>
            <w:r>
              <w:rPr>
                <w:rFonts w:hint="eastAsia" w:ascii="宋体" w:hAnsi="宋体" w:cs="宋体"/>
                <w:color w:val="000000"/>
                <w:szCs w:val="21"/>
              </w:rPr>
              <w:t>757291</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2、外交支出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00"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 xml:space="preserve">3、国有资本经营预算财政拨款 </w:t>
            </w: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3、国防支出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00"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4、上级补助收入</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4、公共安全支出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00"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5、事业收入</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5、教育支出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00"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6、经营收入</w:t>
            </w:r>
          </w:p>
        </w:tc>
        <w:tc>
          <w:tcPr>
            <w:tcW w:w="1459" w:type="dxa"/>
            <w:tcBorders>
              <w:top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6、科学技术支出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00"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7、附属单位上缴收入</w:t>
            </w:r>
          </w:p>
        </w:tc>
        <w:tc>
          <w:tcPr>
            <w:tcW w:w="1459" w:type="dxa"/>
            <w:tcBorders>
              <w:top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7、文化旅游体育与传媒支出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00"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8、其他收入</w:t>
            </w:r>
          </w:p>
        </w:tc>
        <w:tc>
          <w:tcPr>
            <w:tcW w:w="1459"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Cs w:val="21"/>
              </w:rPr>
              <w:t>21</w:t>
            </w:r>
            <w:r>
              <w:rPr>
                <w:rFonts w:hint="eastAsia" w:ascii="宋体" w:hAnsi="宋体" w:cs="宋体"/>
                <w:color w:val="000000"/>
                <w:szCs w:val="21"/>
                <w:lang w:val="en-US" w:eastAsia="zh-CN"/>
              </w:rPr>
              <w:t>.</w:t>
            </w:r>
            <w:r>
              <w:rPr>
                <w:rFonts w:hint="eastAsia" w:ascii="宋体" w:hAnsi="宋体" w:cs="宋体"/>
                <w:color w:val="000000"/>
                <w:szCs w:val="21"/>
              </w:rPr>
              <w:t>287468</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8、社会保障和就业支出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00"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1459"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9、卫生健康支出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6.742776</w:t>
            </w:r>
          </w:p>
        </w:tc>
      </w:tr>
      <w:tr>
        <w:tblPrEx>
          <w:tblCellMar>
            <w:top w:w="15" w:type="dxa"/>
            <w:left w:w="15" w:type="dxa"/>
            <w:bottom w:w="15" w:type="dxa"/>
            <w:right w:w="15" w:type="dxa"/>
          </w:tblCellMar>
        </w:tblPrEx>
        <w:trPr>
          <w:trHeight w:val="249"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p>
        </w:tc>
        <w:tc>
          <w:tcPr>
            <w:tcW w:w="1459"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10、节能环保支出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30"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 w:val="20"/>
                <w:szCs w:val="20"/>
              </w:rPr>
              <w:t xml:space="preserve"> </w:t>
            </w:r>
          </w:p>
        </w:tc>
        <w:tc>
          <w:tcPr>
            <w:tcW w:w="1459"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11、城乡社区支出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ascii="宋体" w:hAnsi="宋体" w:cs="宋体"/>
                <w:color w:val="000000"/>
                <w:szCs w:val="21"/>
              </w:rPr>
              <w:t>132456</w:t>
            </w:r>
            <w:r>
              <w:rPr>
                <w:rFonts w:hint="eastAsia" w:ascii="宋体" w:hAnsi="宋体" w:cs="宋体"/>
                <w:color w:val="000000"/>
                <w:szCs w:val="21"/>
                <w:lang w:val="en-US" w:eastAsia="zh-CN"/>
              </w:rPr>
              <w:t>.</w:t>
            </w:r>
            <w:r>
              <w:rPr>
                <w:rFonts w:hint="eastAsia" w:ascii="宋体" w:hAnsi="宋体" w:cs="宋体"/>
                <w:color w:val="000000"/>
                <w:szCs w:val="21"/>
              </w:rPr>
              <w:t>757291</w:t>
            </w:r>
          </w:p>
        </w:tc>
      </w:tr>
      <w:tr>
        <w:tblPrEx>
          <w:tblCellMar>
            <w:top w:w="15" w:type="dxa"/>
            <w:left w:w="15" w:type="dxa"/>
            <w:bottom w:w="15" w:type="dxa"/>
            <w:right w:w="15" w:type="dxa"/>
          </w:tblCellMar>
        </w:tblPrEx>
        <w:trPr>
          <w:trHeight w:val="300"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12、农林水支出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17"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13、交通运输支出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12" w:hRule="atLeast"/>
        </w:trPr>
        <w:tc>
          <w:tcPr>
            <w:tcW w:w="300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14、资源勘探信息等支出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12" w:hRule="atLeast"/>
        </w:trPr>
        <w:tc>
          <w:tcPr>
            <w:tcW w:w="300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15、商业服务业等支出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298" w:hRule="atLeast"/>
        </w:trPr>
        <w:tc>
          <w:tcPr>
            <w:tcW w:w="300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16、金融支出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15" w:hRule="atLeast"/>
        </w:trPr>
        <w:tc>
          <w:tcPr>
            <w:tcW w:w="300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17、援助其他地区支出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281" w:hRule="atLeast"/>
        </w:trPr>
        <w:tc>
          <w:tcPr>
            <w:tcW w:w="300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18、自然资源海洋气象等支出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328.272378</w:t>
            </w:r>
          </w:p>
        </w:tc>
      </w:tr>
      <w:tr>
        <w:tblPrEx>
          <w:tblCellMar>
            <w:top w:w="15" w:type="dxa"/>
            <w:left w:w="15" w:type="dxa"/>
            <w:bottom w:w="15" w:type="dxa"/>
            <w:right w:w="15" w:type="dxa"/>
          </w:tblCellMar>
        </w:tblPrEx>
        <w:trPr>
          <w:trHeight w:val="345" w:hRule="atLeast"/>
        </w:trPr>
        <w:tc>
          <w:tcPr>
            <w:tcW w:w="300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19、住房保障支出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19.853712</w:t>
            </w:r>
          </w:p>
        </w:tc>
      </w:tr>
      <w:tr>
        <w:tblPrEx>
          <w:tblCellMar>
            <w:top w:w="15" w:type="dxa"/>
            <w:left w:w="15" w:type="dxa"/>
            <w:bottom w:w="15" w:type="dxa"/>
            <w:right w:w="15" w:type="dxa"/>
          </w:tblCellMar>
        </w:tblPrEx>
        <w:trPr>
          <w:trHeight w:val="312" w:hRule="atLeast"/>
        </w:trPr>
        <w:tc>
          <w:tcPr>
            <w:tcW w:w="300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20、粮油物资储备支出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287" w:hRule="atLeast"/>
        </w:trPr>
        <w:tc>
          <w:tcPr>
            <w:tcW w:w="300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21、灾害防治及应急管理支出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50</w:t>
            </w:r>
          </w:p>
        </w:tc>
      </w:tr>
      <w:tr>
        <w:tblPrEx>
          <w:tblCellMar>
            <w:top w:w="15" w:type="dxa"/>
            <w:left w:w="15" w:type="dxa"/>
            <w:bottom w:w="15" w:type="dxa"/>
            <w:right w:w="15" w:type="dxa"/>
          </w:tblCellMar>
        </w:tblPrEx>
        <w:trPr>
          <w:trHeight w:val="287" w:hRule="atLeast"/>
        </w:trPr>
        <w:tc>
          <w:tcPr>
            <w:tcW w:w="300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cs="宋体"/>
                <w:color w:val="000000"/>
                <w:kern w:val="0"/>
                <w:szCs w:val="21"/>
              </w:rPr>
            </w:pPr>
            <w:r>
              <w:rPr>
                <w:rFonts w:hint="eastAsia" w:ascii="宋体" w:hAnsi="宋体" w:cs="宋体"/>
                <w:color w:val="000000"/>
                <w:kern w:val="0"/>
                <w:szCs w:val="21"/>
              </w:rPr>
              <w:t>22、其他支出</w:t>
            </w:r>
          </w:p>
        </w:tc>
        <w:tc>
          <w:tcPr>
            <w:tcW w:w="164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415" w:hRule="atLeast"/>
        </w:trPr>
        <w:tc>
          <w:tcPr>
            <w:tcW w:w="3009"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本年收入合计</w:t>
            </w:r>
          </w:p>
        </w:tc>
        <w:tc>
          <w:tcPr>
            <w:tcW w:w="1459"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cs="宋体"/>
                <w:color w:val="000000"/>
                <w:kern w:val="0"/>
                <w:szCs w:val="21"/>
              </w:rPr>
              <w:t xml:space="preserve">132894.396899 </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646" w:type="dxa"/>
            <w:tcBorders>
              <w:top w:val="single" w:color="000000" w:sz="4" w:space="0"/>
              <w:left w:val="single" w:color="000000" w:sz="4" w:space="0"/>
              <w:right w:val="single" w:color="000000" w:sz="4" w:space="0"/>
            </w:tcBorders>
            <w:vAlign w:val="center"/>
          </w:tcPr>
          <w:p>
            <w:pPr>
              <w:rPr>
                <w:rFonts w:ascii="宋体" w:hAnsi="宋体" w:cs="宋体"/>
                <w:b/>
                <w:color w:val="000000"/>
                <w:szCs w:val="21"/>
              </w:rPr>
            </w:pPr>
            <w:r>
              <w:rPr>
                <w:rFonts w:hint="eastAsia" w:ascii="宋体" w:hAnsi="宋体" w:cs="宋体"/>
                <w:b/>
                <w:bCs w:val="0"/>
                <w:color w:val="000000"/>
                <w:szCs w:val="21"/>
              </w:rPr>
              <w:t>132861.626157</w:t>
            </w:r>
          </w:p>
        </w:tc>
      </w:tr>
      <w:tr>
        <w:tblPrEx>
          <w:tblCellMar>
            <w:top w:w="15" w:type="dxa"/>
            <w:left w:w="15" w:type="dxa"/>
            <w:bottom w:w="15" w:type="dxa"/>
            <w:right w:w="15" w:type="dxa"/>
          </w:tblCellMar>
        </w:tblPrEx>
        <w:trPr>
          <w:trHeight w:val="355"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用事业基金弥补收支差额</w:t>
            </w: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 xml:space="preserve">结余分配 </w:t>
            </w:r>
          </w:p>
        </w:tc>
        <w:tc>
          <w:tcPr>
            <w:tcW w:w="1646" w:type="dxa"/>
            <w:tcBorders>
              <w:top w:val="single" w:color="000000" w:sz="4" w:space="0"/>
              <w:left w:val="single" w:color="000000" w:sz="4" w:space="0"/>
              <w:bottom w:val="single" w:color="000000" w:sz="4" w:space="0"/>
              <w:right w:val="single" w:color="000000" w:sz="4" w:space="0"/>
            </w:tcBorders>
            <w:vAlign w:val="bottom"/>
          </w:tcPr>
          <w:p>
            <w:pP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0.00</w:t>
            </w:r>
          </w:p>
        </w:tc>
      </w:tr>
      <w:tr>
        <w:tblPrEx>
          <w:tblCellMar>
            <w:top w:w="15" w:type="dxa"/>
            <w:left w:w="15" w:type="dxa"/>
            <w:bottom w:w="15" w:type="dxa"/>
            <w:right w:w="15" w:type="dxa"/>
          </w:tblCellMar>
        </w:tblPrEx>
        <w:trPr>
          <w:trHeight w:val="371"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年初结转和结余</w:t>
            </w: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Cs/>
                <w:color w:val="000000"/>
                <w:szCs w:val="21"/>
              </w:rPr>
            </w:pPr>
            <w:r>
              <w:rPr>
                <w:rFonts w:hint="eastAsia" w:ascii="宋体" w:hAnsi="宋体" w:cs="宋体"/>
                <w:bCs/>
                <w:color w:val="000000"/>
                <w:szCs w:val="21"/>
              </w:rPr>
              <w:t>81.366667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年末结转和结余</w:t>
            </w:r>
          </w:p>
        </w:tc>
        <w:tc>
          <w:tcPr>
            <w:tcW w:w="16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szCs w:val="21"/>
              </w:rPr>
            </w:pPr>
            <w:r>
              <w:rPr>
                <w:rFonts w:hint="eastAsia" w:ascii="宋体" w:hAnsi="宋体" w:cs="宋体"/>
                <w:b/>
                <w:color w:val="000000"/>
                <w:szCs w:val="21"/>
              </w:rPr>
              <w:t>114.137409</w:t>
            </w:r>
          </w:p>
        </w:tc>
      </w:tr>
      <w:tr>
        <w:tblPrEx>
          <w:tblCellMar>
            <w:top w:w="15" w:type="dxa"/>
            <w:left w:w="15" w:type="dxa"/>
            <w:bottom w:w="15" w:type="dxa"/>
            <w:right w:w="15" w:type="dxa"/>
          </w:tblCellMar>
        </w:tblPrEx>
        <w:trPr>
          <w:trHeight w:val="382" w:hRule="atLeast"/>
        </w:trPr>
        <w:tc>
          <w:tcPr>
            <w:tcW w:w="3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收入总计</w:t>
            </w:r>
          </w:p>
        </w:tc>
        <w:tc>
          <w:tcPr>
            <w:tcW w:w="14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132975.763566</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支出总计</w:t>
            </w:r>
          </w:p>
        </w:tc>
        <w:tc>
          <w:tcPr>
            <w:tcW w:w="16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szCs w:val="21"/>
              </w:rPr>
            </w:pPr>
            <w:r>
              <w:rPr>
                <w:rFonts w:hint="eastAsia" w:ascii="宋体" w:hAnsi="宋体" w:cs="宋体"/>
                <w:b/>
                <w:color w:val="000000"/>
                <w:szCs w:val="21"/>
              </w:rPr>
              <w:t>132975.763566</w:t>
            </w:r>
          </w:p>
        </w:tc>
      </w:tr>
    </w:tbl>
    <w:p>
      <w:pPr>
        <w:widowControl/>
        <w:jc w:val="left"/>
        <w:rPr>
          <w:rFonts w:ascii="宋体" w:hAnsi="宋体" w:cs="宋体"/>
          <w:sz w:val="48"/>
          <w:szCs w:val="48"/>
        </w:rPr>
      </w:pPr>
      <w:r>
        <w:rPr>
          <w:rFonts w:hint="eastAsia" w:ascii="宋体" w:hAnsi="宋体" w:cs="宋体"/>
          <w:color w:val="000000"/>
          <w:kern w:val="0"/>
          <w:szCs w:val="21"/>
        </w:rPr>
        <w:t>注：本表反映部门本年度的总收支和年末结转结余情况。本表金额转换为万元时，因四舍五入可能存在尾差。</w:t>
      </w:r>
    </w:p>
    <w:p>
      <w:pPr>
        <w:jc w:val="center"/>
        <w:rPr>
          <w:rFonts w:ascii="宋体" w:hAnsi="宋体" w:cs="宋体"/>
          <w:b/>
          <w:bCs/>
          <w:sz w:val="32"/>
          <w:szCs w:val="32"/>
        </w:rPr>
      </w:pPr>
      <w:r>
        <w:rPr>
          <w:rFonts w:hint="eastAsia" w:ascii="宋体" w:hAnsi="宋体" w:cs="宋体"/>
          <w:b/>
          <w:bCs/>
          <w:sz w:val="32"/>
          <w:szCs w:val="32"/>
        </w:rPr>
        <w:t>收入决算表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公开02表</w:t>
      </w:r>
    </w:p>
    <w:p>
      <w:pPr>
        <w:rPr>
          <w:rFonts w:ascii="宋体" w:hAnsi="宋体" w:cs="宋体"/>
          <w:b/>
          <w:bCs/>
          <w:sz w:val="48"/>
          <w:szCs w:val="48"/>
        </w:rPr>
      </w:pPr>
      <w:r>
        <w:rPr>
          <w:rFonts w:hint="eastAsia" w:ascii="宋体" w:hAnsi="宋体" w:cs="宋体"/>
          <w:b/>
          <w:bCs/>
          <w:szCs w:val="21"/>
        </w:rPr>
        <w:t>编制部门：</w:t>
      </w:r>
      <w:r>
        <w:rPr>
          <w:rFonts w:hint="eastAsia" w:ascii="宋体" w:hAnsi="宋体" w:cs="宋体"/>
          <w:b/>
          <w:bCs/>
          <w:szCs w:val="21"/>
          <w:lang w:eastAsia="zh-CN"/>
        </w:rPr>
        <w:t>杨凌示范区自然资源和规划局</w:t>
      </w:r>
      <w:r>
        <w:rPr>
          <w:rFonts w:hint="eastAsia" w:ascii="宋体" w:hAnsi="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b/>
          <w:bCs/>
          <w:szCs w:val="21"/>
        </w:rPr>
        <w:t xml:space="preserve">           金额单位：万元</w:t>
      </w:r>
    </w:p>
    <w:tbl>
      <w:tblPr>
        <w:tblStyle w:val="7"/>
        <w:tblW w:w="8917" w:type="dxa"/>
        <w:tblInd w:w="0" w:type="dxa"/>
        <w:tblLayout w:type="fixed"/>
        <w:tblCellMar>
          <w:top w:w="15" w:type="dxa"/>
          <w:left w:w="15" w:type="dxa"/>
          <w:bottom w:w="15" w:type="dxa"/>
          <w:right w:w="15" w:type="dxa"/>
        </w:tblCellMar>
      </w:tblPr>
      <w:tblGrid>
        <w:gridCol w:w="932"/>
        <w:gridCol w:w="760"/>
        <w:gridCol w:w="860"/>
        <w:gridCol w:w="875"/>
        <w:gridCol w:w="724"/>
        <w:gridCol w:w="724"/>
        <w:gridCol w:w="1479"/>
        <w:gridCol w:w="754"/>
        <w:gridCol w:w="995"/>
        <w:gridCol w:w="814"/>
      </w:tblGrid>
      <w:tr>
        <w:tblPrEx>
          <w:tblCellMar>
            <w:top w:w="15" w:type="dxa"/>
            <w:left w:w="15" w:type="dxa"/>
            <w:bottom w:w="15" w:type="dxa"/>
            <w:right w:w="15" w:type="dxa"/>
          </w:tblCellMar>
        </w:tblPrEx>
        <w:trPr>
          <w:trHeight w:val="459" w:hRule="atLeast"/>
        </w:trPr>
        <w:tc>
          <w:tcPr>
            <w:tcW w:w="16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项目</w:t>
            </w: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本年收入合计</w:t>
            </w:r>
          </w:p>
        </w:tc>
        <w:tc>
          <w:tcPr>
            <w:tcW w:w="8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财政拨款收入</w:t>
            </w:r>
          </w:p>
        </w:tc>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上级补助收入</w:t>
            </w:r>
          </w:p>
        </w:tc>
        <w:tc>
          <w:tcPr>
            <w:tcW w:w="2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事业收入</w:t>
            </w:r>
          </w:p>
        </w:tc>
        <w:tc>
          <w:tcPr>
            <w:tcW w:w="7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经营</w:t>
            </w:r>
          </w:p>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收入</w:t>
            </w:r>
          </w:p>
        </w:tc>
        <w:tc>
          <w:tcPr>
            <w:tcW w:w="9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附属单位上缴收入</w:t>
            </w:r>
          </w:p>
        </w:tc>
        <w:tc>
          <w:tcPr>
            <w:tcW w:w="8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其他</w:t>
            </w:r>
          </w:p>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收入</w:t>
            </w:r>
          </w:p>
        </w:tc>
      </w:tr>
      <w:tr>
        <w:tblPrEx>
          <w:tblCellMar>
            <w:top w:w="15" w:type="dxa"/>
            <w:left w:w="15" w:type="dxa"/>
            <w:bottom w:w="15" w:type="dxa"/>
            <w:right w:w="15" w:type="dxa"/>
          </w:tblCellMar>
        </w:tblPrEx>
        <w:trPr>
          <w:trHeight w:val="1114" w:hRule="atLeast"/>
        </w:trPr>
        <w:tc>
          <w:tcPr>
            <w:tcW w:w="932"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76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科目</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名称</w:t>
            </w: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小计</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 xml:space="preserve">其中：教育 </w:t>
            </w:r>
          </w:p>
          <w:p>
            <w:pPr>
              <w:ind w:firstLine="843" w:firstLineChars="400"/>
              <w:rPr>
                <w:rFonts w:ascii="宋体" w:hAnsi="宋体" w:cs="宋体"/>
                <w:b/>
                <w:color w:val="000000"/>
                <w:szCs w:val="21"/>
              </w:rPr>
            </w:pPr>
            <w:r>
              <w:rPr>
                <w:rFonts w:hint="eastAsia" w:ascii="宋体" w:hAnsi="宋体" w:cs="宋体"/>
                <w:b/>
                <w:color w:val="000000"/>
                <w:szCs w:val="21"/>
              </w:rPr>
              <w:t>收费</w:t>
            </w:r>
          </w:p>
        </w:tc>
        <w:tc>
          <w:tcPr>
            <w:tcW w:w="7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641" w:hRule="atLeast"/>
        </w:trPr>
        <w:tc>
          <w:tcPr>
            <w:tcW w:w="16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b/>
                <w:bCs/>
                <w:color w:val="000000"/>
                <w:kern w:val="0"/>
                <w:szCs w:val="21"/>
              </w:rPr>
              <w:t>合计</w:t>
            </w: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132894.396899</w:t>
            </w: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132873.109431</w:t>
            </w: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rPr>
              <w:t>21.287468</w:t>
            </w: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59" w:hRule="atLeast"/>
        </w:trPr>
        <w:tc>
          <w:tcPr>
            <w:tcW w:w="93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76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2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7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widowControl/>
        <w:jc w:val="left"/>
        <w:rPr>
          <w:rFonts w:hint="eastAsia" w:ascii="宋体" w:hAnsi="宋体" w:cs="宋体"/>
          <w:color w:val="000000"/>
          <w:kern w:val="0"/>
          <w:szCs w:val="21"/>
        </w:rPr>
      </w:pPr>
      <w:r>
        <w:rPr>
          <w:rFonts w:hint="eastAsia" w:ascii="宋体" w:hAnsi="宋体" w:cs="宋体"/>
          <w:szCs w:val="21"/>
        </w:rPr>
        <w:t>注：本表反映部门本年度取得的各项收入情况。</w:t>
      </w:r>
      <w:r>
        <w:rPr>
          <w:rFonts w:hint="eastAsia" w:ascii="宋体" w:hAnsi="宋体" w:cs="宋体"/>
          <w:color w:val="000000"/>
          <w:kern w:val="0"/>
          <w:szCs w:val="21"/>
        </w:rPr>
        <w:t>本表金额转换为万元时，因四舍五入可能存在尾差。</w:t>
      </w:r>
    </w:p>
    <w:p>
      <w:pPr>
        <w:widowControl/>
        <w:jc w:val="left"/>
        <w:rPr>
          <w:rFonts w:hint="eastAsia" w:ascii="宋体" w:hAnsi="宋体" w:cs="宋体"/>
          <w:color w:val="000000"/>
          <w:kern w:val="0"/>
          <w:szCs w:val="21"/>
        </w:rPr>
      </w:pPr>
    </w:p>
    <w:p>
      <w:pPr>
        <w:jc w:val="center"/>
        <w:rPr>
          <w:rFonts w:ascii="宋体" w:hAnsi="宋体" w:cs="宋体"/>
          <w:b/>
          <w:bCs/>
          <w:sz w:val="32"/>
          <w:szCs w:val="32"/>
        </w:rPr>
      </w:pPr>
      <w:r>
        <w:rPr>
          <w:rFonts w:hint="eastAsia" w:ascii="宋体" w:hAnsi="宋体" w:cs="宋体"/>
          <w:b/>
          <w:bCs/>
          <w:sz w:val="32"/>
          <w:szCs w:val="32"/>
        </w:rPr>
        <w:t>支出决算表</w:t>
      </w:r>
    </w:p>
    <w:p>
      <w:pPr>
        <w:rPr>
          <w:rFonts w:ascii="宋体" w:hAnsi="宋体" w:cs="宋体"/>
          <w:b/>
          <w:bCs/>
          <w:szCs w:val="21"/>
        </w:rPr>
      </w:pPr>
      <w:r>
        <w:rPr>
          <w:rFonts w:hint="eastAsia" w:ascii="宋体" w:hAnsi="宋体" w:cs="宋体"/>
          <w:b/>
          <w:bCs/>
          <w:sz w:val="24"/>
        </w:rPr>
        <w:t xml:space="preserve">                        </w:t>
      </w:r>
      <w:r>
        <w:rPr>
          <w:rFonts w:hint="eastAsia" w:ascii="宋体" w:hAnsi="宋体" w:cs="宋体"/>
          <w:b/>
          <w:bCs/>
          <w:szCs w:val="21"/>
        </w:rPr>
        <w:t xml:space="preserve">                                               公开03表</w:t>
      </w:r>
    </w:p>
    <w:p>
      <w:pPr>
        <w:rPr>
          <w:rFonts w:ascii="宋体" w:hAnsi="宋体" w:cs="宋体"/>
          <w:b/>
          <w:bCs/>
          <w:sz w:val="48"/>
          <w:szCs w:val="48"/>
        </w:rPr>
      </w:pPr>
      <w:r>
        <w:rPr>
          <w:rFonts w:hint="eastAsia" w:ascii="宋体" w:hAnsi="宋体" w:cs="宋体"/>
          <w:b/>
          <w:bCs/>
          <w:szCs w:val="21"/>
        </w:rPr>
        <w:t>编制部门：</w:t>
      </w:r>
      <w:r>
        <w:rPr>
          <w:rFonts w:hint="eastAsia" w:ascii="宋体" w:hAnsi="宋体" w:cs="宋体"/>
          <w:b/>
          <w:bCs/>
          <w:szCs w:val="21"/>
          <w:lang w:eastAsia="zh-CN"/>
        </w:rPr>
        <w:t>杨凌示范区自然资源和规划局</w:t>
      </w:r>
      <w:r>
        <w:rPr>
          <w:rFonts w:hint="eastAsia" w:ascii="宋体" w:hAnsi="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b/>
          <w:bCs/>
          <w:szCs w:val="21"/>
        </w:rPr>
        <w:t xml:space="preserve">    金额单位：万元</w:t>
      </w:r>
    </w:p>
    <w:tbl>
      <w:tblPr>
        <w:tblStyle w:val="7"/>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上缴上</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对附属单位</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132861.626157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221.317608</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132640.308549</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tabs>
                <w:tab w:val="left" w:pos="506"/>
              </w:tabs>
              <w:jc w:val="lef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widowControl/>
        <w:jc w:val="left"/>
      </w:pPr>
      <w:r>
        <w:rPr>
          <w:rFonts w:hint="eastAsia" w:ascii="宋体" w:hAnsi="宋体" w:cs="宋体"/>
          <w:szCs w:val="21"/>
        </w:rPr>
        <w:t>注：本表反映部门本年度各项支出情况。</w:t>
      </w:r>
      <w:r>
        <w:rPr>
          <w:rFonts w:hint="eastAsia" w:ascii="宋体" w:hAnsi="宋体" w:cs="宋体"/>
          <w:color w:val="000000"/>
          <w:kern w:val="0"/>
          <w:szCs w:val="21"/>
        </w:rPr>
        <w:t>本表金额转换为万元时，因四舍五入可能存在尾差。</w:t>
      </w:r>
    </w:p>
    <w:p>
      <w:pPr>
        <w:jc w:val="center"/>
        <w:rPr>
          <w:rFonts w:hint="eastAsia"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
          <w:bCs/>
          <w:sz w:val="32"/>
          <w:szCs w:val="32"/>
        </w:rPr>
      </w:pPr>
      <w:r>
        <w:rPr>
          <w:rFonts w:hint="eastAsia" w:ascii="宋体" w:hAnsi="宋体" w:cs="宋体"/>
          <w:b/>
          <w:bCs/>
          <w:sz w:val="32"/>
          <w:szCs w:val="32"/>
        </w:rPr>
        <w:t>财政拨款收入支出决算总表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公开04表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b/>
          <w:bCs/>
          <w:szCs w:val="21"/>
        </w:rPr>
      </w:pPr>
      <w:r>
        <w:rPr>
          <w:rFonts w:hint="eastAsia" w:ascii="宋体" w:hAnsi="宋体" w:cs="宋体"/>
          <w:b/>
          <w:bCs/>
          <w:szCs w:val="21"/>
        </w:rPr>
        <w:t>编制部门：                                                            金额单位：万元</w:t>
      </w:r>
    </w:p>
    <w:tbl>
      <w:tblPr>
        <w:tblStyle w:val="7"/>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416.35214</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132456.757291</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7、</w:t>
            </w:r>
            <w:r>
              <w:rPr>
                <w:rFonts w:hint="eastAsia" w:ascii="宋体" w:hAnsi="宋体" w:cs="宋体"/>
                <w:color w:val="000000"/>
                <w:spacing w:val="-11"/>
                <w:w w:val="98"/>
                <w:kern w:val="0"/>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6.742776</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szCs w:val="21"/>
              </w:rPr>
              <w:t>6.742776</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132456.757291</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ascii="宋体" w:hAnsi="宋体" w:cs="宋体"/>
                <w:color w:val="000000"/>
                <w:szCs w:val="21"/>
              </w:rPr>
              <w:t>132456.757291</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18、</w:t>
            </w:r>
            <w:r>
              <w:rPr>
                <w:rFonts w:hint="eastAsia" w:ascii="宋体" w:hAnsi="宋体" w:cs="宋体"/>
                <w:color w:val="000000"/>
                <w:spacing w:val="-11"/>
                <w:w w:val="98"/>
                <w:kern w:val="0"/>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rPr>
              <w:t>295.618243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rPr>
              <w:t>295.618243</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19.853712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19.853712</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0</w:t>
            </w:r>
          </w:p>
        </w:tc>
        <w:tc>
          <w:tcPr>
            <w:tcW w:w="1102"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984" w:type="dxa"/>
            <w:tcBorders>
              <w:top w:val="single" w:color="000000" w:sz="4" w:space="0"/>
              <w:bottom w:val="single" w:color="000000" w:sz="4" w:space="0"/>
              <w:right w:val="single" w:color="000000" w:sz="4" w:space="0"/>
            </w:tcBorders>
            <w:vAlign w:val="center"/>
          </w:tcPr>
          <w:p>
            <w:pPr>
              <w:rPr>
                <w:rFonts w:ascii="宋体" w:hAnsi="宋体" w:cs="宋体"/>
                <w:b/>
                <w:color w:val="000000"/>
                <w:szCs w:val="21"/>
              </w:rPr>
            </w:pPr>
          </w:p>
        </w:tc>
      </w:tr>
    </w:tbl>
    <w:p>
      <w:pPr>
        <w:jc w:val="center"/>
        <w:rPr>
          <w:rFonts w:ascii="宋体" w:hAnsi="宋体" w:cs="宋体"/>
          <w:b/>
          <w:bCs/>
          <w:sz w:val="32"/>
          <w:szCs w:val="32"/>
        </w:rPr>
      </w:pPr>
      <w:r>
        <w:rPr>
          <w:rFonts w:hint="eastAsia" w:ascii="宋体" w:hAnsi="宋体" w:cs="宋体"/>
          <w:b/>
          <w:bCs/>
          <w:sz w:val="32"/>
          <w:szCs w:val="32"/>
        </w:rPr>
        <w:t xml:space="preserve">财政拨款收入支出决算总表 </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 xml:space="preserve">      公开04表</w:t>
      </w:r>
    </w:p>
    <w:p>
      <w:pPr>
        <w:rPr>
          <w:rFonts w:ascii="宋体" w:hAnsi="宋体" w:cs="宋体"/>
          <w:b/>
          <w:bCs/>
          <w:szCs w:val="21"/>
        </w:rPr>
      </w:pPr>
      <w:r>
        <w:rPr>
          <w:rFonts w:hint="eastAsia" w:ascii="宋体" w:hAnsi="宋体" w:cs="宋体"/>
          <w:b/>
          <w:bCs/>
          <w:szCs w:val="21"/>
        </w:rPr>
        <w:t>编制部门：                                                            金额单位：万元</w:t>
      </w:r>
    </w:p>
    <w:tbl>
      <w:tblPr>
        <w:tblStyle w:val="7"/>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cs="宋体"/>
                <w:color w:val="000000"/>
                <w:kern w:val="0"/>
                <w:szCs w:val="21"/>
              </w:rPr>
              <w:t xml:space="preserve">132873.109431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132828.972022</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372.214731</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132456.757291</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kern w:val="0"/>
                <w:szCs w:val="21"/>
                <w:lang w:val="en-US" w:eastAsia="zh-CN"/>
              </w:rPr>
            </w:pPr>
            <w:r>
              <w:rPr>
                <w:rFonts w:hint="eastAsia" w:ascii="宋体" w:hAnsi="宋体" w:cs="宋体"/>
                <w:b/>
                <w:color w:val="000000"/>
                <w:kern w:val="0"/>
                <w:szCs w:val="21"/>
                <w:lang w:val="en-US" w:eastAsia="zh-CN"/>
              </w:rPr>
              <w:t>70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年末财政拨款</w:t>
            </w:r>
          </w:p>
          <w:p>
            <w:pPr>
              <w:widowControl/>
              <w:jc w:val="center"/>
              <w:textAlignment w:val="center"/>
              <w:rPr>
                <w:rFonts w:ascii="宋体" w:hAnsi="宋体" w:cs="宋体"/>
                <w:b/>
                <w:color w:val="000000"/>
                <w:kern w:val="0"/>
                <w:szCs w:val="21"/>
              </w:rPr>
            </w:pPr>
            <w:r>
              <w:rPr>
                <w:rFonts w:hint="eastAsia" w:ascii="宋体" w:hAnsi="宋体" w:cs="宋体"/>
                <w:color w:val="000000"/>
                <w:kern w:val="0"/>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114.137409</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114.137409</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Cs w:val="21"/>
                <w:lang w:val="en-US" w:eastAsia="zh-CN"/>
              </w:rPr>
            </w:pPr>
            <w:r>
              <w:rPr>
                <w:rFonts w:hint="eastAsia" w:ascii="宋体" w:hAnsi="宋体" w:cs="宋体"/>
                <w:b/>
                <w:color w:val="000000"/>
                <w:kern w:val="0"/>
                <w:szCs w:val="21"/>
                <w:lang w:val="en-US" w:eastAsia="zh-CN"/>
              </w:rPr>
              <w:t>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 xml:space="preserve">一、一般公共预   </w:t>
            </w:r>
          </w:p>
          <w:p>
            <w:pPr>
              <w:widowControl/>
              <w:ind w:firstLine="420" w:firstLineChars="200"/>
              <w:textAlignment w:val="center"/>
              <w:rPr>
                <w:rFonts w:ascii="宋体" w:hAnsi="宋体" w:cs="宋体"/>
                <w:b/>
                <w:color w:val="000000"/>
                <w:kern w:val="0"/>
                <w:szCs w:val="21"/>
              </w:rPr>
            </w:pPr>
            <w:r>
              <w:rPr>
                <w:rFonts w:hint="eastAsia" w:ascii="宋体" w:hAnsi="宋体" w:cs="宋体"/>
                <w:color w:val="000000"/>
                <w:kern w:val="0"/>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Cs w:val="21"/>
                <w:lang w:val="en-US" w:eastAsia="zh-CN"/>
              </w:rPr>
            </w:pPr>
            <w:r>
              <w:rPr>
                <w:rFonts w:hint="eastAsia" w:ascii="宋体" w:hAnsi="宋体" w:cs="宋体"/>
                <w:b/>
                <w:color w:val="000000"/>
                <w:kern w:val="0"/>
                <w:szCs w:val="21"/>
                <w:lang w:val="en-US" w:eastAsia="zh-CN"/>
              </w:rPr>
              <w:t>70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 xml:space="preserve">二、政府性基金预 </w:t>
            </w:r>
          </w:p>
          <w:p>
            <w:pPr>
              <w:widowControl/>
              <w:ind w:firstLine="420" w:firstLineChars="200"/>
              <w:textAlignment w:val="center"/>
              <w:rPr>
                <w:rFonts w:ascii="宋体" w:hAnsi="宋体" w:cs="宋体"/>
                <w:b/>
                <w:color w:val="000000"/>
                <w:kern w:val="0"/>
                <w:szCs w:val="21"/>
              </w:rPr>
            </w:pPr>
            <w:r>
              <w:rPr>
                <w:rFonts w:hint="eastAsia" w:ascii="宋体" w:hAnsi="宋体" w:cs="宋体"/>
                <w:color w:val="000000"/>
                <w:kern w:val="0"/>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Cs w:val="21"/>
                <w:lang w:val="en-US" w:eastAsia="zh-CN"/>
              </w:rPr>
            </w:pPr>
            <w:r>
              <w:rPr>
                <w:rFonts w:hint="eastAsia" w:ascii="宋体" w:hAnsi="宋体" w:cs="宋体"/>
                <w:b/>
                <w:color w:val="000000"/>
                <w:kern w:val="0"/>
                <w:szCs w:val="21"/>
                <w:lang w:val="en-US" w:eastAsia="zh-CN"/>
              </w:rPr>
              <w:t>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
                <w:color w:val="000000"/>
                <w:kern w:val="0"/>
                <w:szCs w:val="21"/>
              </w:rPr>
            </w:pPr>
            <w:r>
              <w:rPr>
                <w:rFonts w:hint="eastAsia" w:ascii="宋体" w:hAnsi="宋体" w:cs="宋体"/>
                <w:b/>
                <w:color w:val="000000"/>
                <w:kern w:val="0"/>
                <w:szCs w:val="21"/>
              </w:rPr>
              <w:t>132943.109431</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132943.109431</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486.35214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132456.757291</w:t>
            </w:r>
          </w:p>
        </w:tc>
      </w:tr>
    </w:tbl>
    <w:p>
      <w:pPr>
        <w:rPr>
          <w:rFonts w:ascii="宋体" w:hAnsi="宋体" w:cs="宋体"/>
          <w:szCs w:val="21"/>
        </w:rPr>
      </w:pPr>
    </w:p>
    <w:p>
      <w:pPr>
        <w:widowControl/>
        <w:jc w:val="left"/>
      </w:pPr>
      <w:r>
        <w:rPr>
          <w:rFonts w:hint="eastAsia" w:ascii="宋体" w:hAnsi="宋体" w:cs="宋体"/>
          <w:szCs w:val="21"/>
        </w:rPr>
        <w:t>注：本表反映部门本年度一般公共预算财政拨款和政府性基金预算财政拨款的总收支和年末结转结余情况。</w:t>
      </w:r>
      <w:r>
        <w:rPr>
          <w:rFonts w:hint="eastAsia" w:ascii="宋体" w:hAnsi="宋体" w:cs="宋体"/>
          <w:color w:val="000000"/>
          <w:kern w:val="0"/>
          <w:szCs w:val="21"/>
        </w:rPr>
        <w:t>本表金额转换为万元时，因四舍五入可能存在尾差。</w:t>
      </w:r>
    </w:p>
    <w:p>
      <w:pPr>
        <w:rPr>
          <w:rFonts w:ascii="仿宋_GB2312" w:hAnsi="仿宋_GB2312" w:eastAsia="仿宋_GB2312" w:cs="仿宋_GB2312"/>
          <w:sz w:val="32"/>
          <w:szCs w:val="32"/>
        </w:rPr>
      </w:pPr>
    </w:p>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宋体" w:hAnsi="宋体" w:cs="宋体"/>
          <w:b/>
          <w:bCs/>
          <w:sz w:val="32"/>
          <w:szCs w:val="32"/>
        </w:rPr>
      </w:pPr>
      <w:r>
        <w:rPr>
          <w:rFonts w:hint="eastAsia" w:ascii="宋体" w:hAnsi="宋体" w:cs="宋体"/>
          <w:b/>
          <w:bCs/>
          <w:sz w:val="32"/>
          <w:szCs w:val="32"/>
        </w:rPr>
        <w:br w:type="page"/>
      </w:r>
    </w:p>
    <w:p>
      <w:pPr>
        <w:jc w:val="center"/>
        <w:rPr>
          <w:rFonts w:ascii="宋体" w:hAnsi="宋体" w:cs="宋体"/>
          <w:b/>
          <w:bCs/>
          <w:sz w:val="32"/>
          <w:szCs w:val="32"/>
        </w:rPr>
      </w:pPr>
      <w:r>
        <w:rPr>
          <w:rFonts w:hint="eastAsia" w:ascii="宋体" w:hAnsi="宋体" w:cs="宋体"/>
          <w:b/>
          <w:bCs/>
          <w:sz w:val="32"/>
          <w:szCs w:val="32"/>
        </w:rPr>
        <w:t>一般公共预算财政拨款支出决算表（按功能分类科目）</w:t>
      </w:r>
    </w:p>
    <w:p>
      <w:pPr>
        <w:rPr>
          <w:rFonts w:ascii="宋体" w:hAnsi="宋体" w:cs="宋体"/>
          <w:b/>
          <w:bCs/>
          <w:szCs w:val="21"/>
        </w:rPr>
      </w:pPr>
      <w:r>
        <w:rPr>
          <w:rFonts w:hint="eastAsia" w:ascii="宋体" w:hAnsi="宋体" w:cs="宋体"/>
          <w:b/>
          <w:bCs/>
          <w:szCs w:val="21"/>
        </w:rPr>
        <w:t xml:space="preserve">                                                                          公开05表</w:t>
      </w:r>
    </w:p>
    <w:p>
      <w:pPr>
        <w:rPr>
          <w:rFonts w:ascii="宋体" w:hAnsi="宋体" w:cs="宋体"/>
          <w:b/>
          <w:bCs/>
          <w:szCs w:val="21"/>
        </w:rPr>
      </w:pPr>
      <w:r>
        <w:rPr>
          <w:rFonts w:hint="eastAsia" w:ascii="宋体" w:hAnsi="宋体" w:cs="宋体"/>
          <w:b/>
          <w:bCs/>
          <w:szCs w:val="21"/>
        </w:rPr>
        <w:t>编制部门：                                                           金额单位：万元</w:t>
      </w:r>
    </w:p>
    <w:tbl>
      <w:tblPr>
        <w:tblStyle w:val="7"/>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b/>
                <w:bCs/>
                <w:color w:val="000000"/>
                <w:kern w:val="0"/>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372.214731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200.03014</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188.282944</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11.747196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172.184591</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一般公共服务</w:t>
            </w:r>
          </w:p>
          <w:p>
            <w:pPr>
              <w:widowControl/>
              <w:jc w:val="center"/>
              <w:textAlignment w:val="center"/>
              <w:rPr>
                <w:rFonts w:ascii="宋体" w:hAnsi="宋体" w:cs="宋体"/>
                <w:color w:val="000000"/>
                <w:szCs w:val="21"/>
              </w:rPr>
            </w:pPr>
            <w:r>
              <w:rPr>
                <w:rFonts w:hint="eastAsia" w:ascii="宋体" w:hAnsi="宋体" w:cs="宋体"/>
                <w:color w:val="000000"/>
                <w:kern w:val="0"/>
                <w:szCs w:val="21"/>
              </w:rPr>
              <w:t>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20106</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财政事务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2010601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ascii="宋体" w:hAnsi="宋体" w:cs="宋体"/>
                <w:color w:val="000000"/>
                <w:szCs w:val="21"/>
              </w:rPr>
              <w:t>1734336.52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kern w:val="2"/>
                <w:sz w:val="21"/>
                <w:szCs w:val="21"/>
                <w:lang w:val="en-US" w:eastAsia="zh-CN" w:bidi="ar-SA"/>
              </w:rPr>
            </w:pPr>
            <w:r>
              <w:rPr>
                <w:rFonts w:hint="eastAsia" w:ascii="宋体" w:hAnsi="宋体" w:cs="宋体"/>
                <w:color w:val="000000"/>
                <w:szCs w:val="21"/>
              </w:rPr>
              <w:t>1616864.56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widowControl/>
        <w:jc w:val="left"/>
        <w:rPr>
          <w:rFonts w:ascii="宋体" w:hAnsi="宋体" w:cs="宋体"/>
          <w:b/>
          <w:bCs/>
          <w:sz w:val="32"/>
          <w:szCs w:val="32"/>
        </w:rPr>
      </w:pPr>
      <w:r>
        <w:rPr>
          <w:rFonts w:hint="eastAsia" w:ascii="宋体" w:hAnsi="宋体" w:cs="宋体"/>
          <w:szCs w:val="21"/>
        </w:rPr>
        <w:t>注：本表反映部门本年度一般公共预算财政拨款实际支出情况。</w:t>
      </w:r>
      <w:r>
        <w:rPr>
          <w:rFonts w:hint="eastAsia" w:ascii="宋体" w:hAnsi="宋体" w:cs="宋体"/>
          <w:color w:val="000000"/>
          <w:kern w:val="0"/>
          <w:szCs w:val="21"/>
        </w:rPr>
        <w:t>本表金额转换为万元时，因四舍五入可能存在尾差。</w:t>
      </w:r>
    </w:p>
    <w:p>
      <w:pPr>
        <w:jc w:val="center"/>
        <w:rPr>
          <w:rFonts w:ascii="宋体" w:hAnsi="宋体" w:cs="宋体"/>
          <w:b/>
          <w:bCs/>
          <w:sz w:val="32"/>
          <w:szCs w:val="32"/>
        </w:rPr>
      </w:pPr>
      <w:r>
        <w:rPr>
          <w:rFonts w:hint="eastAsia" w:ascii="宋体" w:hAnsi="宋体" w:cs="宋体"/>
          <w:b/>
          <w:bCs/>
          <w:sz w:val="32"/>
          <w:szCs w:val="32"/>
        </w:rPr>
        <w:t>一般公共预算财政拨款基本支出决算表（按经济分类科目）</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公开06表</w:t>
      </w:r>
    </w:p>
    <w:p>
      <w:pPr>
        <w:rPr>
          <w:rFonts w:ascii="宋体" w:hAnsi="宋体" w:cs="宋体"/>
          <w:b/>
          <w:bCs/>
          <w:szCs w:val="21"/>
        </w:rPr>
      </w:pPr>
      <w:r>
        <w:rPr>
          <w:rFonts w:hint="eastAsia" w:ascii="宋体" w:hAnsi="宋体" w:cs="宋体"/>
          <w:b/>
          <w:bCs/>
          <w:szCs w:val="21"/>
        </w:rPr>
        <w:t>编制部门：                                                            金额单位：万元</w:t>
      </w:r>
    </w:p>
    <w:tbl>
      <w:tblPr>
        <w:tblStyle w:val="7"/>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437"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rPr>
            </w:pPr>
            <w:r>
              <w:rPr>
                <w:rFonts w:hint="eastAsia" w:ascii="宋体" w:hAnsi="宋体" w:eastAsia="宋体" w:cs="宋体"/>
                <w:color w:val="000000"/>
                <w:szCs w:val="21"/>
              </w:rPr>
              <w:t>1882829.44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rPr>
            </w:pPr>
            <w:r>
              <w:rPr>
                <w:rFonts w:hint="eastAsia" w:ascii="宋体" w:hAnsi="宋体" w:eastAsia="宋体" w:cs="宋体"/>
                <w:color w:val="000000"/>
                <w:szCs w:val="21"/>
              </w:rPr>
              <w:t>37</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0553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rPr>
            </w:pPr>
            <w:r>
              <w:rPr>
                <w:rFonts w:hint="eastAsia" w:ascii="宋体" w:hAnsi="宋体" w:eastAsia="宋体" w:cs="宋体"/>
                <w:color w:val="000000"/>
                <w:szCs w:val="21"/>
              </w:rPr>
              <w:t>39</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7798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rPr>
            </w:pPr>
            <w:r>
              <w:rPr>
                <w:rFonts w:hint="eastAsia" w:ascii="宋体" w:hAnsi="宋体" w:eastAsia="宋体" w:cs="宋体"/>
              </w:rPr>
              <w:t>166.585922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5.45625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30202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lang w:val="en-US" w:eastAsia="zh-CN"/>
              </w:rPr>
              <w:t>0</w:t>
            </w:r>
            <w:r>
              <w:rPr>
                <w:rFonts w:hint="eastAsia" w:ascii="宋体" w:hAnsi="宋体" w:cs="宋体"/>
                <w:color w:val="000000"/>
                <w:szCs w:val="21"/>
              </w:rPr>
              <w:t>.69978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310</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其他资本性支出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31002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房屋建筑物购建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31003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办公设备购置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33</w:t>
            </w:r>
            <w:r>
              <w:rPr>
                <w:rFonts w:hint="eastAsia" w:ascii="宋体" w:hAnsi="宋体" w:cs="宋体"/>
                <w:color w:val="000000"/>
                <w:szCs w:val="21"/>
                <w:lang w:val="en-US" w:eastAsia="zh-CN"/>
              </w:rPr>
              <w:t>.</w:t>
            </w:r>
            <w:r>
              <w:rPr>
                <w:rFonts w:hint="eastAsia" w:ascii="宋体" w:hAnsi="宋体" w:cs="宋体"/>
                <w:color w:val="000000"/>
                <w:szCs w:val="21"/>
              </w:rPr>
              <w:t>8628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widowControl/>
        <w:jc w:val="left"/>
      </w:pPr>
      <w:r>
        <w:rPr>
          <w:rFonts w:hint="eastAsia" w:ascii="宋体" w:hAnsi="宋体" w:cs="宋体"/>
          <w:szCs w:val="21"/>
        </w:rPr>
        <w:t>注：本表反映部门本年度一般公共预算财政拨款基本支出明细情况。</w:t>
      </w:r>
      <w:r>
        <w:rPr>
          <w:rFonts w:hint="eastAsia" w:ascii="宋体" w:hAnsi="宋体" w:cs="宋体"/>
          <w:color w:val="000000"/>
          <w:kern w:val="0"/>
          <w:szCs w:val="21"/>
        </w:rPr>
        <w:t>本表金额转换为万元时，因四舍五入可能存在尾差。</w:t>
      </w:r>
    </w:p>
    <w:p>
      <w:pPr>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一般公共预算财政拨款“三公”经费</w:t>
      </w:r>
    </w:p>
    <w:p>
      <w:pPr>
        <w:spacing w:line="520" w:lineRule="exact"/>
        <w:jc w:val="center"/>
        <w:rPr>
          <w:rFonts w:ascii="宋体" w:hAnsi="宋体" w:cs="宋体"/>
          <w:b/>
          <w:bCs/>
          <w:sz w:val="32"/>
          <w:szCs w:val="32"/>
        </w:rPr>
      </w:pPr>
      <w:r>
        <w:rPr>
          <w:rFonts w:hint="eastAsia" w:ascii="宋体" w:hAnsi="宋体" w:cs="宋体"/>
          <w:b/>
          <w:bCs/>
          <w:sz w:val="32"/>
          <w:szCs w:val="32"/>
        </w:rPr>
        <w:t>及会议费、培训费支出决算表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 xml:space="preserve">        公开07表</w:t>
      </w:r>
    </w:p>
    <w:p>
      <w:pPr>
        <w:rPr>
          <w:rFonts w:ascii="宋体" w:hAnsi="宋体" w:cs="宋体"/>
          <w:b/>
          <w:bCs/>
          <w:szCs w:val="21"/>
        </w:rPr>
      </w:pPr>
      <w:r>
        <w:rPr>
          <w:rFonts w:hint="eastAsia" w:ascii="宋体" w:hAnsi="宋体" w:cs="宋体"/>
          <w:b/>
          <w:bCs/>
          <w:szCs w:val="21"/>
        </w:rPr>
        <w:t>编制部门：                                                            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4.5</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4.5</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3</w:t>
            </w:r>
          </w:p>
        </w:tc>
      </w:tr>
      <w:tr>
        <w:tblPrEx>
          <w:tblCellMar>
            <w:top w:w="15" w:type="dxa"/>
            <w:left w:w="15" w:type="dxa"/>
            <w:bottom w:w="15" w:type="dxa"/>
            <w:right w:w="15" w:type="dxa"/>
          </w:tblCellMar>
        </w:tblPrEx>
        <w:trPr>
          <w:trHeight w:val="753"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3</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3.3293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0.639</w:t>
            </w:r>
          </w:p>
        </w:tc>
      </w:tr>
    </w:tbl>
    <w:p>
      <w:pPr>
        <w:widowControl/>
        <w:jc w:val="left"/>
      </w:pPr>
      <w:r>
        <w:rPr>
          <w:rFonts w:hint="eastAsia" w:ascii="宋体" w:hAnsi="宋体" w:cs="宋体"/>
          <w:szCs w:val="21"/>
        </w:rPr>
        <w:t>注：本表反映部门本年度一般公共预算财政拨款“三公”经费、会议费、培训费的预算数和实际支出。预算数为调整预算数。</w:t>
      </w:r>
      <w:r>
        <w:rPr>
          <w:rFonts w:hint="eastAsia" w:ascii="宋体" w:hAnsi="宋体" w:cs="宋体"/>
          <w:color w:val="000000"/>
          <w:kern w:val="0"/>
          <w:szCs w:val="21"/>
        </w:rPr>
        <w:t>本表金额转换为万元时，因四舍五入可能存在尾差。</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政府性基金预算财政拨款收入支出决算表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公开08表</w:t>
      </w:r>
    </w:p>
    <w:p>
      <w:pPr>
        <w:rPr>
          <w:rFonts w:ascii="宋体" w:hAnsi="宋体" w:cs="宋体"/>
          <w:b/>
          <w:bCs/>
          <w:szCs w:val="21"/>
        </w:rPr>
      </w:pPr>
      <w:r>
        <w:rPr>
          <w:rFonts w:hint="eastAsia" w:ascii="宋体" w:hAnsi="宋体" w:cs="宋体"/>
          <w:b/>
          <w:bCs/>
          <w:szCs w:val="21"/>
        </w:rPr>
        <w:t>编制部门：                                                            金额单位：万元</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132456.757291</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kern w:val="2"/>
                <w:sz w:val="21"/>
                <w:szCs w:val="21"/>
                <w:lang w:val="en-US" w:eastAsia="zh-CN" w:bidi="ar-SA"/>
              </w:rPr>
            </w:pPr>
            <w:r>
              <w:rPr>
                <w:rFonts w:hint="eastAsia" w:ascii="宋体" w:hAnsi="宋体" w:cs="宋体"/>
                <w:b/>
                <w:color w:val="000000"/>
                <w:szCs w:val="21"/>
              </w:rPr>
              <w:t>132456.757291</w:t>
            </w: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kern w:val="2"/>
                <w:sz w:val="21"/>
                <w:szCs w:val="21"/>
                <w:lang w:val="en-US" w:eastAsia="zh-CN" w:bidi="ar-SA"/>
              </w:rPr>
            </w:pPr>
            <w:r>
              <w:rPr>
                <w:rFonts w:hint="eastAsia" w:ascii="宋体" w:hAnsi="宋体" w:cs="宋体"/>
                <w:b/>
                <w:color w:val="000000"/>
                <w:szCs w:val="21"/>
              </w:rPr>
              <w:t>132456.757291</w:t>
            </w: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widowControl/>
        <w:jc w:val="left"/>
        <w:rPr>
          <w:rFonts w:ascii="宋体" w:hAnsi="宋体" w:cs="宋体"/>
          <w:szCs w:val="21"/>
        </w:rPr>
      </w:pPr>
      <w:r>
        <w:rPr>
          <w:rFonts w:hint="eastAsia" w:ascii="宋体" w:hAnsi="宋体" w:cs="宋体"/>
          <w:szCs w:val="21"/>
        </w:rPr>
        <w:t>注：本表反映部门本年度政府性基金预算财政拨款收入支出及结转和结余情况。</w:t>
      </w:r>
      <w:r>
        <w:rPr>
          <w:rFonts w:hint="eastAsia" w:ascii="宋体" w:hAnsi="宋体" w:cs="宋体"/>
          <w:color w:val="000000"/>
          <w:kern w:val="0"/>
          <w:szCs w:val="21"/>
        </w:rPr>
        <w:t>本表金额转换为万元时，因四舍五入可能存在尾差。</w:t>
      </w:r>
    </w:p>
    <w:p>
      <w:pPr>
        <w:jc w:val="center"/>
        <w:rPr>
          <w:rFonts w:ascii="黑体" w:hAnsi="宋体" w:eastAsia="黑体"/>
          <w:color w:val="000000"/>
          <w:kern w:val="0"/>
          <w:sz w:val="44"/>
          <w:szCs w:val="44"/>
        </w:rPr>
      </w:pPr>
      <w:r>
        <w:rPr>
          <w:rFonts w:hint="eastAsia" w:ascii="黑体" w:hAnsi="宋体" w:eastAsia="黑体"/>
          <w:color w:val="000000"/>
          <w:kern w:val="0"/>
          <w:sz w:val="44"/>
          <w:szCs w:val="44"/>
        </w:rPr>
        <w:br w:type="page"/>
      </w:r>
      <w:r>
        <w:rPr>
          <w:rFonts w:hint="eastAsia" w:ascii="黑体" w:hAnsi="宋体" w:eastAsia="黑体"/>
          <w:color w:val="000000"/>
          <w:kern w:val="0"/>
          <w:sz w:val="44"/>
          <w:szCs w:val="44"/>
        </w:rPr>
        <w:t>第三部分 2019 年部门决算情况说明</w:t>
      </w:r>
    </w:p>
    <w:p>
      <w:pPr>
        <w:widowControl/>
        <w:rPr>
          <w:rFonts w:ascii="黑体" w:hAnsi="宋体" w:eastAsia="黑体"/>
          <w:color w:val="000000"/>
          <w:kern w:val="0"/>
          <w:sz w:val="44"/>
          <w:szCs w:val="44"/>
        </w:rPr>
      </w:pPr>
    </w:p>
    <w:p>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 xml:space="preserve">一、收入支出决算总体情况说明 </w:t>
      </w:r>
    </w:p>
    <w:p>
      <w:pPr>
        <w:widowControl/>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2019年收入</w:t>
      </w:r>
      <w:r>
        <w:rPr>
          <w:rFonts w:hint="eastAsia" w:ascii="仿宋_GB2312" w:hAnsi="仿宋" w:eastAsia="仿宋_GB2312"/>
          <w:sz w:val="32"/>
          <w:szCs w:val="32"/>
          <w:lang w:eastAsia="zh-CN"/>
        </w:rPr>
        <w:t>本年合计1328943968.99元，较</w:t>
      </w:r>
      <w:r>
        <w:rPr>
          <w:rFonts w:hint="eastAsia" w:ascii="仿宋_GB2312" w:hAnsi="仿宋" w:eastAsia="仿宋_GB2312"/>
          <w:sz w:val="32"/>
          <w:szCs w:val="32"/>
        </w:rPr>
        <w:t>上年增长</w:t>
      </w:r>
      <w:r>
        <w:rPr>
          <w:rFonts w:hint="eastAsia" w:ascii="仿宋_GB2312" w:hAnsi="仿宋" w:eastAsia="仿宋_GB2312"/>
          <w:sz w:val="32"/>
          <w:szCs w:val="32"/>
          <w:lang w:val="en-US" w:eastAsia="zh-CN"/>
        </w:rPr>
        <w:t>1323730468.99元</w:t>
      </w:r>
      <w:r>
        <w:rPr>
          <w:rFonts w:hint="eastAsia" w:ascii="仿宋_GB2312" w:hAnsi="仿宋" w:eastAsia="仿宋_GB2312"/>
          <w:sz w:val="32"/>
          <w:szCs w:val="32"/>
        </w:rPr>
        <w:t>，</w:t>
      </w:r>
      <w:r>
        <w:rPr>
          <w:rFonts w:hint="eastAsia" w:ascii="仿宋_GB2312" w:hAnsi="仿宋" w:eastAsia="仿宋_GB2312"/>
          <w:sz w:val="32"/>
          <w:szCs w:val="32"/>
          <w:lang w:eastAsia="zh-CN"/>
        </w:rPr>
        <w:t>主要增长的原因为</w:t>
      </w:r>
      <w:r>
        <w:rPr>
          <w:rFonts w:hint="eastAsia" w:ascii="仿宋_GB2312" w:hAnsi="仿宋" w:eastAsia="仿宋_GB2312"/>
          <w:sz w:val="32"/>
          <w:szCs w:val="32"/>
          <w:lang w:val="en-US" w:eastAsia="zh-CN"/>
        </w:rPr>
        <w:t>2019年将直接支付单位资金纳入本单位核算</w:t>
      </w:r>
      <w:r>
        <w:rPr>
          <w:rFonts w:hint="eastAsia" w:ascii="仿宋_GB2312" w:hAnsi="仿宋" w:eastAsia="仿宋_GB2312"/>
          <w:sz w:val="32"/>
          <w:szCs w:val="32"/>
        </w:rPr>
        <w:t>。</w:t>
      </w:r>
    </w:p>
    <w:p>
      <w:pPr>
        <w:widowControl/>
        <w:ind w:firstLine="420" w:firstLineChars="200"/>
        <w:jc w:val="center"/>
        <w:rPr>
          <w:rFonts w:hint="eastAsia" w:ascii="仿宋_GB2312" w:hAnsi="仿宋" w:eastAsia="仿宋_GB2312"/>
          <w:sz w:val="32"/>
          <w:szCs w:val="32"/>
        </w:rPr>
      </w:pPr>
      <w:r>
        <w:drawing>
          <wp:inline distT="0" distB="0" distL="114300" distR="114300">
            <wp:extent cx="2908935" cy="2155190"/>
            <wp:effectExtent l="5080" t="4445" r="19685" b="1206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2019年支出</w:t>
      </w:r>
      <w:r>
        <w:rPr>
          <w:rFonts w:hint="eastAsia" w:ascii="仿宋_GB2312" w:hAnsi="仿宋" w:eastAsia="仿宋_GB2312"/>
          <w:sz w:val="32"/>
          <w:szCs w:val="32"/>
          <w:lang w:eastAsia="zh-CN"/>
        </w:rPr>
        <w:t>合计1324567572.91元，较</w:t>
      </w:r>
      <w:r>
        <w:rPr>
          <w:rFonts w:hint="eastAsia" w:ascii="仿宋_GB2312" w:hAnsi="仿宋" w:eastAsia="仿宋_GB2312"/>
          <w:sz w:val="32"/>
          <w:szCs w:val="32"/>
        </w:rPr>
        <w:t>比上年增长</w:t>
      </w:r>
      <w:r>
        <w:rPr>
          <w:rFonts w:hint="eastAsia" w:ascii="仿宋_GB2312" w:hAnsi="仿宋" w:eastAsia="仿宋_GB2312"/>
          <w:sz w:val="32"/>
          <w:szCs w:val="32"/>
          <w:lang w:val="en-US" w:eastAsia="zh-CN"/>
        </w:rPr>
        <w:t>1320167772.91元</w:t>
      </w:r>
      <w:r>
        <w:rPr>
          <w:rFonts w:hint="eastAsia" w:ascii="仿宋_GB2312" w:hAnsi="仿宋" w:eastAsia="仿宋_GB2312"/>
          <w:sz w:val="32"/>
          <w:szCs w:val="32"/>
        </w:rPr>
        <w:t>，</w:t>
      </w:r>
      <w:r>
        <w:rPr>
          <w:rFonts w:hint="eastAsia" w:ascii="仿宋_GB2312" w:hAnsi="仿宋" w:eastAsia="仿宋_GB2312"/>
          <w:sz w:val="32"/>
          <w:szCs w:val="32"/>
          <w:lang w:eastAsia="zh-CN"/>
        </w:rPr>
        <w:t>主要增长的原因为土地收储及征地补偿、自然资源、灾害防治等支出</w:t>
      </w:r>
      <w:r>
        <w:rPr>
          <w:rFonts w:hint="eastAsia" w:ascii="仿宋_GB2312" w:hAnsi="仿宋" w:eastAsia="仿宋_GB2312"/>
          <w:sz w:val="32"/>
          <w:szCs w:val="32"/>
        </w:rPr>
        <w:t>。</w:t>
      </w:r>
    </w:p>
    <w:p>
      <w:pPr>
        <w:widowControl/>
        <w:ind w:firstLine="420" w:firstLineChars="200"/>
        <w:jc w:val="center"/>
        <w:rPr>
          <w:rFonts w:hint="eastAsia" w:ascii="仿宋_GB2312" w:hAnsi="仿宋" w:eastAsia="仿宋_GB2312"/>
          <w:sz w:val="32"/>
          <w:szCs w:val="32"/>
          <w:lang w:eastAsia="zh-CN"/>
        </w:rPr>
      </w:pPr>
      <w:r>
        <w:drawing>
          <wp:inline distT="0" distB="0" distL="114300" distR="114300">
            <wp:extent cx="3056890" cy="2008505"/>
            <wp:effectExtent l="4445" t="4445" r="5715" b="6350"/>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二、收入决算情况说明</w:t>
      </w:r>
    </w:p>
    <w:p>
      <w:pPr>
        <w:widowControl/>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2019</w:t>
      </w:r>
      <w:r>
        <w:rPr>
          <w:rFonts w:ascii="仿宋_GB2312" w:hAnsi="宋体" w:eastAsia="仿宋_GB2312" w:cs="仿宋_GB2312"/>
          <w:color w:val="000000"/>
          <w:kern w:val="0"/>
          <w:sz w:val="32"/>
          <w:szCs w:val="32"/>
        </w:rPr>
        <w:t>年收入合计</w:t>
      </w:r>
      <w:r>
        <w:rPr>
          <w:rFonts w:hint="eastAsia" w:ascii="仿宋_GB2312" w:hAnsi="宋体" w:eastAsia="仿宋_GB2312" w:cs="仿宋_GB2312"/>
          <w:color w:val="000000"/>
          <w:kern w:val="0"/>
          <w:sz w:val="32"/>
          <w:szCs w:val="32"/>
        </w:rPr>
        <w:t>132894.396899</w:t>
      </w:r>
      <w:r>
        <w:rPr>
          <w:rFonts w:ascii="仿宋_GB2312" w:hAnsi="宋体" w:eastAsia="仿宋_GB2312" w:cs="仿宋_GB2312"/>
          <w:color w:val="000000"/>
          <w:kern w:val="0"/>
          <w:sz w:val="32"/>
          <w:szCs w:val="32"/>
        </w:rPr>
        <w:t>元</w:t>
      </w:r>
      <w:r>
        <w:rPr>
          <w:rFonts w:hint="eastAsia" w:ascii="仿宋_GB2312" w:hAnsi="宋体" w:eastAsia="仿宋_GB2312" w:cs="仿宋_GB2312"/>
          <w:color w:val="000000"/>
          <w:kern w:val="0"/>
          <w:sz w:val="32"/>
          <w:szCs w:val="32"/>
          <w:lang w:eastAsia="zh-CN"/>
        </w:rPr>
        <w:t>，</w:t>
      </w:r>
      <w:r>
        <w:rPr>
          <w:rFonts w:ascii="仿宋_GB2312" w:hAnsi="宋体" w:eastAsia="仿宋_GB2312" w:cs="仿宋_GB2312"/>
          <w:color w:val="000000"/>
          <w:kern w:val="0"/>
          <w:sz w:val="32"/>
          <w:szCs w:val="32"/>
        </w:rPr>
        <w:t>其中：财政拨款收入</w:t>
      </w:r>
      <w:r>
        <w:rPr>
          <w:rFonts w:hint="eastAsia" w:ascii="仿宋_GB2312" w:hAnsi="宋体" w:eastAsia="仿宋_GB2312" w:cs="仿宋_GB2312"/>
          <w:color w:val="000000"/>
          <w:kern w:val="0"/>
          <w:sz w:val="32"/>
          <w:szCs w:val="32"/>
        </w:rPr>
        <w:t>132456.757291</w:t>
      </w:r>
      <w:r>
        <w:rPr>
          <w:rFonts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eastAsia="zh-CN"/>
        </w:rPr>
        <w:t>主要原因为将直接支付单位资金纳入本单位核算。</w:t>
      </w:r>
      <w:r>
        <w:rPr>
          <w:rFonts w:ascii="仿宋_GB2312" w:hAnsi="宋体" w:eastAsia="仿宋_GB2312" w:cs="仿宋_GB2312"/>
          <w:color w:val="000000"/>
          <w:kern w:val="0"/>
          <w:sz w:val="32"/>
          <w:szCs w:val="32"/>
        </w:rPr>
        <w:t>占</w:t>
      </w:r>
      <w:r>
        <w:rPr>
          <w:rFonts w:hint="eastAsia" w:ascii="仿宋_GB2312" w:hAnsi="宋体" w:eastAsia="仿宋_GB2312" w:cs="仿宋_GB2312"/>
          <w:color w:val="000000"/>
          <w:kern w:val="0"/>
          <w:sz w:val="32"/>
          <w:szCs w:val="32"/>
          <w:lang w:val="en-US" w:eastAsia="zh-CN"/>
        </w:rPr>
        <w:t>99.6</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eastAsia="zh-CN"/>
        </w:rPr>
        <w:t>一</w:t>
      </w:r>
      <w:r>
        <w:rPr>
          <w:rFonts w:hint="default" w:ascii="仿宋_GB2312" w:hAnsi="仿宋_GB2312" w:eastAsia="仿宋_GB2312" w:cs="仿宋_GB2312"/>
          <w:sz w:val="32"/>
          <w:szCs w:val="32"/>
          <w:highlight w:val="none"/>
          <w:lang w:val="en-US" w:eastAsia="zh-CN"/>
        </w:rPr>
        <w:t>般</w:t>
      </w:r>
      <w:r>
        <w:rPr>
          <w:rFonts w:hint="eastAsia" w:ascii="仿宋_GB2312" w:hAnsi="仿宋_GB2312" w:eastAsia="仿宋_GB2312" w:cs="仿宋_GB2312"/>
          <w:sz w:val="32"/>
          <w:szCs w:val="32"/>
          <w:highlight w:val="none"/>
          <w:lang w:val="en-US" w:eastAsia="zh-CN"/>
        </w:rPr>
        <w:t>公共</w:t>
      </w:r>
      <w:r>
        <w:rPr>
          <w:rFonts w:hint="default" w:ascii="仿宋_GB2312" w:hAnsi="仿宋_GB2312" w:eastAsia="仿宋_GB2312" w:cs="仿宋_GB2312"/>
          <w:sz w:val="32"/>
          <w:szCs w:val="32"/>
          <w:highlight w:val="none"/>
          <w:lang w:val="en-US" w:eastAsia="zh-CN"/>
        </w:rPr>
        <w:t>预算财政拨款</w:t>
      </w:r>
      <w:r>
        <w:rPr>
          <w:rFonts w:hint="eastAsia" w:ascii="仿宋_GB2312" w:hAnsi="仿宋_GB2312" w:eastAsia="仿宋_GB2312" w:cs="仿宋_GB2312"/>
          <w:sz w:val="32"/>
          <w:szCs w:val="32"/>
          <w:highlight w:val="none"/>
          <w:lang w:val="en-US" w:eastAsia="zh-CN"/>
        </w:rPr>
        <w:t>收入：416.35214万元。占0.031</w:t>
      </w:r>
      <w:r>
        <w:rPr>
          <w:rFonts w:ascii="仿宋_GB2312" w:hAnsi="宋体" w:eastAsia="仿宋_GB2312" w:cs="仿宋_GB2312"/>
          <w:color w:val="000000"/>
          <w:kern w:val="0"/>
          <w:sz w:val="32"/>
          <w:szCs w:val="32"/>
        </w:rPr>
        <w:t>%</w:t>
      </w:r>
      <w:r>
        <w:rPr>
          <w:rFonts w:hint="eastAsia" w:ascii="仿宋_GB2312" w:hAnsi="仿宋_GB2312" w:eastAsia="仿宋_GB2312" w:cs="仿宋_GB2312"/>
          <w:sz w:val="32"/>
          <w:szCs w:val="32"/>
          <w:highlight w:val="none"/>
          <w:lang w:val="en-US" w:eastAsia="zh-CN"/>
        </w:rPr>
        <w:t>占</w:t>
      </w:r>
      <w:r>
        <w:rPr>
          <w:rFonts w:ascii="仿宋_GB2312" w:hAnsi="宋体" w:eastAsia="仿宋_GB2312" w:cs="仿宋_GB2312"/>
          <w:color w:val="000000"/>
          <w:kern w:val="0"/>
          <w:sz w:val="32"/>
          <w:szCs w:val="32"/>
        </w:rPr>
        <w:t>其他收入</w:t>
      </w:r>
      <w:r>
        <w:rPr>
          <w:rFonts w:hint="eastAsia" w:ascii="仿宋_GB2312" w:hAnsi="宋体" w:eastAsia="仿宋_GB2312" w:cs="仿宋_GB2312"/>
          <w:color w:val="000000"/>
          <w:kern w:val="0"/>
          <w:sz w:val="32"/>
          <w:szCs w:val="32"/>
        </w:rPr>
        <w:t>21.287468</w:t>
      </w:r>
      <w:r>
        <w:rPr>
          <w:rFonts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eastAsia="zh-CN"/>
        </w:rPr>
        <w:t>主要为省农林局拨来示范园区奖励资金，</w:t>
      </w:r>
      <w:r>
        <w:rPr>
          <w:rFonts w:ascii="仿宋_GB2312" w:hAnsi="宋体" w:eastAsia="仿宋_GB2312" w:cs="仿宋_GB2312"/>
          <w:color w:val="000000"/>
          <w:kern w:val="0"/>
          <w:sz w:val="32"/>
          <w:szCs w:val="32"/>
        </w:rPr>
        <w:t>占</w:t>
      </w:r>
      <w:r>
        <w:rPr>
          <w:rFonts w:hint="eastAsia" w:ascii="仿宋_GB2312" w:hAnsi="宋体" w:eastAsia="仿宋_GB2312" w:cs="仿宋_GB2312"/>
          <w:color w:val="000000"/>
          <w:kern w:val="0"/>
          <w:sz w:val="32"/>
          <w:szCs w:val="32"/>
          <w:lang w:val="en-US" w:eastAsia="zh-CN"/>
        </w:rPr>
        <w:t>0.009</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p>
    <w:p>
      <w:pPr>
        <w:widowControl/>
        <w:ind w:firstLine="420" w:firstLineChars="200"/>
        <w:jc w:val="center"/>
        <w:rPr>
          <w:rFonts w:hint="eastAsia" w:ascii="仿宋_GB2312" w:hAnsi="宋体" w:eastAsia="仿宋_GB2312" w:cs="仿宋_GB2312"/>
          <w:color w:val="000000"/>
          <w:kern w:val="0"/>
          <w:sz w:val="32"/>
          <w:szCs w:val="32"/>
        </w:rPr>
      </w:pPr>
      <w:r>
        <w:drawing>
          <wp:inline distT="0" distB="0" distL="114300" distR="114300">
            <wp:extent cx="2806700" cy="1913255"/>
            <wp:effectExtent l="4445" t="4445" r="8255" b="635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ind w:firstLine="640" w:firstLineChars="200"/>
        <w:jc w:val="left"/>
        <w:rPr>
          <w:rFonts w:ascii="黑体" w:hAnsi="黑体" w:eastAsia="黑体"/>
        </w:rPr>
      </w:pPr>
      <w:r>
        <w:rPr>
          <w:rFonts w:hint="eastAsia" w:ascii="黑体" w:hAnsi="黑体" w:eastAsia="黑体"/>
          <w:color w:val="000000"/>
          <w:kern w:val="0"/>
          <w:sz w:val="32"/>
          <w:szCs w:val="32"/>
        </w:rPr>
        <w:t>三、支出决算情况说明</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2019</w:t>
      </w:r>
      <w:r>
        <w:rPr>
          <w:rFonts w:ascii="仿宋_GB2312" w:hAnsi="宋体" w:eastAsia="仿宋_GB2312" w:cs="仿宋_GB2312"/>
          <w:color w:val="000000"/>
          <w:kern w:val="0"/>
          <w:sz w:val="32"/>
          <w:szCs w:val="32"/>
        </w:rPr>
        <w:t>年支出合计</w:t>
      </w:r>
      <w:r>
        <w:rPr>
          <w:rFonts w:hint="eastAsia" w:ascii="仿宋_GB2312" w:hAnsi="宋体" w:eastAsia="仿宋_GB2312" w:cs="仿宋_GB2312"/>
          <w:color w:val="000000"/>
          <w:kern w:val="0"/>
          <w:sz w:val="32"/>
          <w:szCs w:val="32"/>
        </w:rPr>
        <w:t>132861.626157</w:t>
      </w:r>
      <w:r>
        <w:rPr>
          <w:rFonts w:ascii="仿宋_GB2312" w:hAnsi="宋体" w:eastAsia="仿宋_GB2312" w:cs="仿宋_GB2312"/>
          <w:color w:val="000000"/>
          <w:kern w:val="0"/>
          <w:sz w:val="32"/>
          <w:szCs w:val="32"/>
        </w:rPr>
        <w:t>万元，其中：基本支出</w:t>
      </w:r>
      <w:r>
        <w:rPr>
          <w:rFonts w:hint="eastAsia" w:ascii="仿宋_GB2312" w:hAnsi="宋体" w:eastAsia="仿宋_GB2312" w:cs="仿宋_GB2312"/>
          <w:color w:val="000000"/>
          <w:kern w:val="0"/>
          <w:sz w:val="32"/>
          <w:szCs w:val="32"/>
        </w:rPr>
        <w:t>221.317608</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0.0017</w:t>
      </w:r>
      <w:r>
        <w:rPr>
          <w:rFonts w:ascii="仿宋_GB2312" w:hAnsi="宋体" w:eastAsia="仿宋_GB2312" w:cs="仿宋_GB2312"/>
          <w:color w:val="000000"/>
          <w:kern w:val="0"/>
          <w:sz w:val="32"/>
          <w:szCs w:val="32"/>
        </w:rPr>
        <w:t>%；项目支出</w:t>
      </w:r>
      <w:r>
        <w:rPr>
          <w:rFonts w:hint="eastAsia" w:ascii="仿宋_GB2312" w:hAnsi="宋体" w:eastAsia="仿宋_GB2312" w:cs="仿宋_GB2312"/>
          <w:color w:val="000000"/>
          <w:kern w:val="0"/>
          <w:sz w:val="32"/>
          <w:szCs w:val="32"/>
        </w:rPr>
        <w:t>132</w:t>
      </w:r>
      <w:r>
        <w:rPr>
          <w:rFonts w:hint="eastAsia" w:ascii="仿宋_GB2312" w:hAnsi="宋体" w:eastAsia="仿宋_GB2312" w:cs="仿宋_GB2312"/>
          <w:color w:val="000000"/>
          <w:kern w:val="0"/>
          <w:sz w:val="32"/>
          <w:szCs w:val="32"/>
          <w:lang w:val="en-US" w:eastAsia="zh-CN"/>
        </w:rPr>
        <w:t>640</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3085</w:t>
      </w:r>
      <w:r>
        <w:rPr>
          <w:rFonts w:hint="eastAsia" w:ascii="仿宋_GB2312" w:hAnsi="宋体" w:eastAsia="仿宋_GB2312" w:cs="仿宋_GB2312"/>
          <w:color w:val="000000"/>
          <w:kern w:val="0"/>
          <w:sz w:val="32"/>
          <w:szCs w:val="32"/>
        </w:rPr>
        <w:t>57</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99.83</w:t>
      </w:r>
      <w:r>
        <w:rPr>
          <w:rFonts w:ascii="仿宋_GB2312" w:hAnsi="宋体" w:eastAsia="仿宋_GB2312" w:cs="仿宋_GB2312"/>
          <w:color w:val="000000"/>
          <w:kern w:val="0"/>
          <w:sz w:val="32"/>
          <w:szCs w:val="32"/>
        </w:rPr>
        <w:t>%。</w:t>
      </w:r>
    </w:p>
    <w:p>
      <w:pPr>
        <w:widowControl/>
        <w:ind w:firstLine="420" w:firstLineChars="200"/>
        <w:jc w:val="center"/>
        <w:rPr>
          <w:rFonts w:ascii="仿宋_GB2312" w:hAnsi="宋体" w:eastAsia="仿宋_GB2312" w:cs="仿宋_GB2312"/>
          <w:color w:val="000000"/>
          <w:kern w:val="0"/>
          <w:sz w:val="32"/>
          <w:szCs w:val="32"/>
        </w:rPr>
      </w:pPr>
      <w:r>
        <w:drawing>
          <wp:inline distT="0" distB="0" distL="114300" distR="114300">
            <wp:extent cx="2676525" cy="1852930"/>
            <wp:effectExtent l="4445" t="4445" r="5080" b="952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 xml:space="preserve">四、财政拨款收入支出决算总体情况说明  </w:t>
      </w:r>
    </w:p>
    <w:p>
      <w:pPr>
        <w:widowControl/>
        <w:ind w:firstLine="640" w:firstLineChars="200"/>
        <w:jc w:val="left"/>
        <w:rPr>
          <w:rFonts w:ascii="仿宋_GB2312" w:hAnsi="仿宋" w:eastAsia="仿宋_GB2312"/>
          <w:sz w:val="32"/>
          <w:szCs w:val="32"/>
        </w:rPr>
      </w:pPr>
      <w:r>
        <w:rPr>
          <w:rFonts w:hint="eastAsia" w:ascii="仿宋_GB2312" w:hAnsi="仿宋" w:eastAsia="仿宋_GB2312"/>
          <w:sz w:val="32"/>
          <w:szCs w:val="32"/>
        </w:rPr>
        <w:t>2019年</w:t>
      </w:r>
      <w:r>
        <w:rPr>
          <w:rFonts w:ascii="仿宋_GB2312" w:hAnsi="宋体" w:eastAsia="仿宋_GB2312" w:cs="仿宋_GB2312"/>
          <w:color w:val="000000"/>
          <w:kern w:val="0"/>
          <w:sz w:val="32"/>
          <w:szCs w:val="32"/>
        </w:rPr>
        <w:t>财政拨款</w:t>
      </w:r>
      <w:r>
        <w:rPr>
          <w:rFonts w:hint="eastAsia" w:ascii="仿宋_GB2312" w:hAnsi="仿宋" w:eastAsia="仿宋_GB2312"/>
          <w:sz w:val="32"/>
          <w:szCs w:val="32"/>
        </w:rPr>
        <w:t>收入总体情况及比上年</w:t>
      </w:r>
      <w:r>
        <w:rPr>
          <w:rFonts w:hint="eastAsia" w:ascii="仿宋_GB2312" w:hAnsi="仿宋" w:eastAsia="仿宋_GB2312"/>
          <w:sz w:val="32"/>
          <w:szCs w:val="32"/>
          <w:lang w:eastAsia="zh-CN"/>
        </w:rPr>
        <w:t>有所增长</w:t>
      </w:r>
      <w:r>
        <w:rPr>
          <w:rFonts w:hint="eastAsia" w:ascii="仿宋_GB2312" w:hAnsi="仿宋" w:eastAsia="仿宋_GB2312"/>
          <w:sz w:val="32"/>
          <w:szCs w:val="32"/>
        </w:rPr>
        <w:t>，</w:t>
      </w:r>
      <w:r>
        <w:rPr>
          <w:rFonts w:hint="eastAsia" w:ascii="仿宋_GB2312" w:hAnsi="仿宋" w:eastAsia="仿宋_GB2312"/>
          <w:sz w:val="32"/>
          <w:szCs w:val="32"/>
          <w:lang w:eastAsia="zh-CN"/>
        </w:rPr>
        <w:t>增长的原因为将直接支付单位资金纳入本单位核算</w:t>
      </w:r>
      <w:r>
        <w:rPr>
          <w:rFonts w:hint="eastAsia" w:ascii="仿宋_GB2312" w:hAnsi="仿宋" w:eastAsia="仿宋_GB2312"/>
          <w:sz w:val="32"/>
          <w:szCs w:val="32"/>
        </w:rPr>
        <w:t>。</w:t>
      </w:r>
    </w:p>
    <w:p>
      <w:pPr>
        <w:widowControl/>
        <w:ind w:firstLine="640" w:firstLineChars="200"/>
        <w:jc w:val="left"/>
        <w:rPr>
          <w:rFonts w:ascii="仿宋_GB2312" w:hAnsi="仿宋" w:eastAsia="仿宋_GB2312"/>
          <w:sz w:val="32"/>
          <w:szCs w:val="32"/>
        </w:rPr>
      </w:pPr>
      <w:r>
        <w:rPr>
          <w:rFonts w:hint="eastAsia" w:ascii="仿宋_GB2312" w:hAnsi="仿宋" w:eastAsia="仿宋_GB2312"/>
          <w:sz w:val="32"/>
          <w:szCs w:val="32"/>
        </w:rPr>
        <w:t>2019年</w:t>
      </w:r>
      <w:r>
        <w:rPr>
          <w:rFonts w:ascii="仿宋_GB2312" w:hAnsi="宋体" w:eastAsia="仿宋_GB2312" w:cs="仿宋_GB2312"/>
          <w:color w:val="000000"/>
          <w:kern w:val="0"/>
          <w:sz w:val="32"/>
          <w:szCs w:val="32"/>
        </w:rPr>
        <w:t>财政拨款</w:t>
      </w:r>
      <w:r>
        <w:rPr>
          <w:rFonts w:hint="eastAsia" w:ascii="仿宋_GB2312" w:hAnsi="仿宋" w:eastAsia="仿宋_GB2312"/>
          <w:sz w:val="32"/>
          <w:szCs w:val="32"/>
        </w:rPr>
        <w:t>支出总体情况及比上年</w:t>
      </w:r>
      <w:r>
        <w:rPr>
          <w:rFonts w:hint="eastAsia" w:ascii="仿宋_GB2312" w:hAnsi="仿宋" w:eastAsia="仿宋_GB2312"/>
          <w:sz w:val="32"/>
          <w:szCs w:val="32"/>
          <w:lang w:eastAsia="zh-CN"/>
        </w:rPr>
        <w:t>有所</w:t>
      </w:r>
      <w:r>
        <w:rPr>
          <w:rFonts w:hint="eastAsia" w:ascii="仿宋_GB2312" w:hAnsi="仿宋" w:eastAsia="仿宋_GB2312"/>
          <w:sz w:val="32"/>
          <w:szCs w:val="32"/>
        </w:rPr>
        <w:t>增长，增减的主要原因</w:t>
      </w:r>
      <w:r>
        <w:rPr>
          <w:rFonts w:hint="eastAsia" w:ascii="仿宋_GB2312" w:hAnsi="仿宋" w:eastAsia="仿宋_GB2312"/>
          <w:sz w:val="32"/>
          <w:szCs w:val="32"/>
          <w:lang w:eastAsia="zh-CN"/>
        </w:rPr>
        <w:t>为城乡社区、自然资源、灾害防治等支出</w:t>
      </w:r>
      <w:r>
        <w:rPr>
          <w:rFonts w:hint="eastAsia" w:ascii="仿宋_GB2312" w:hAnsi="仿宋" w:eastAsia="仿宋_GB2312"/>
          <w:sz w:val="32"/>
          <w:szCs w:val="32"/>
        </w:rPr>
        <w:t>。</w:t>
      </w:r>
    </w:p>
    <w:p>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五、一般公共预算财政拨款支出决算情况说明</w:t>
      </w:r>
    </w:p>
    <w:p>
      <w:pPr>
        <w:widowControl/>
        <w:ind w:firstLine="642" w:firstLineChars="200"/>
        <w:jc w:val="left"/>
        <w:rPr>
          <w:rFonts w:ascii="楷体_GB2312" w:hAnsi="宋体" w:eastAsia="楷体_GB2312" w:cs="楷体_GB2312"/>
          <w:b/>
          <w:color w:val="000000"/>
          <w:kern w:val="0"/>
          <w:sz w:val="32"/>
          <w:szCs w:val="32"/>
        </w:rPr>
      </w:pPr>
      <w:r>
        <w:rPr>
          <w:rFonts w:ascii="楷体_GB2312" w:hAnsi="宋体" w:eastAsia="楷体_GB2312" w:cs="楷体_GB2312"/>
          <w:b/>
          <w:color w:val="000000"/>
          <w:kern w:val="0"/>
          <w:sz w:val="32"/>
          <w:szCs w:val="32"/>
        </w:rPr>
        <w:t>（一）财政拨款支出决算总体情况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pPr>
        <w:widowControl/>
        <w:ind w:firstLine="640" w:firstLineChars="200"/>
        <w:jc w:val="left"/>
        <w:rPr>
          <w:rFonts w:hint="eastAsia"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2019年财政拨款支出</w:t>
      </w:r>
      <w:r>
        <w:rPr>
          <w:rFonts w:hint="eastAsia" w:ascii="仿宋_GB2312" w:hAnsi="宋体" w:eastAsia="仿宋_GB2312" w:cs="仿宋_GB2312"/>
          <w:color w:val="000000"/>
          <w:kern w:val="0"/>
          <w:sz w:val="32"/>
          <w:szCs w:val="32"/>
        </w:rPr>
        <w:t>1328616261</w:t>
      </w:r>
      <w:r>
        <w:rPr>
          <w:rFonts w:hint="eastAsia" w:ascii="仿宋_GB2312" w:hAnsi="宋体" w:eastAsia="仿宋_GB2312" w:cs="仿宋_GB2312"/>
          <w:color w:val="000000"/>
          <w:kern w:val="0"/>
          <w:sz w:val="32"/>
          <w:szCs w:val="32"/>
          <w:lang w:val="en-US" w:eastAsia="zh-CN"/>
        </w:rPr>
        <w:t>.</w:t>
      </w:r>
      <w:r>
        <w:rPr>
          <w:rFonts w:hint="eastAsia" w:ascii="仿宋_GB2312" w:hAnsi="宋体" w:eastAsia="仿宋_GB2312" w:cs="仿宋_GB2312"/>
          <w:color w:val="000000"/>
          <w:kern w:val="0"/>
          <w:sz w:val="32"/>
          <w:szCs w:val="32"/>
        </w:rPr>
        <w:t>57</w:t>
      </w:r>
      <w:r>
        <w:rPr>
          <w:rFonts w:ascii="仿宋_GB2312" w:hAnsi="宋体" w:eastAsia="仿宋_GB2312" w:cs="仿宋_GB2312"/>
          <w:color w:val="000000"/>
          <w:kern w:val="0"/>
          <w:sz w:val="32"/>
          <w:szCs w:val="32"/>
        </w:rPr>
        <w:t>元，占本年支出合计的</w:t>
      </w:r>
      <w:r>
        <w:rPr>
          <w:rFonts w:hint="eastAsia" w:ascii="仿宋_GB2312" w:hAnsi="宋体" w:eastAsia="仿宋_GB2312" w:cs="仿宋_GB2312"/>
          <w:color w:val="000000"/>
          <w:kern w:val="0"/>
          <w:sz w:val="32"/>
          <w:szCs w:val="32"/>
          <w:lang w:val="en-US" w:eastAsia="zh-CN"/>
        </w:rPr>
        <w:t>99</w:t>
      </w:r>
      <w:r>
        <w:rPr>
          <w:rFonts w:ascii="仿宋_GB2312" w:hAnsi="宋体" w:eastAsia="仿宋_GB2312" w:cs="仿宋_GB2312"/>
          <w:color w:val="000000"/>
          <w:kern w:val="0"/>
          <w:sz w:val="32"/>
          <w:szCs w:val="32"/>
        </w:rPr>
        <w:t>%。与</w:t>
      </w:r>
      <w:r>
        <w:rPr>
          <w:rFonts w:hint="eastAsia" w:ascii="仿宋_GB2312" w:hAnsi="宋体" w:eastAsia="仿宋_GB2312" w:cs="仿宋_GB2312"/>
          <w:color w:val="000000"/>
          <w:kern w:val="0"/>
          <w:sz w:val="32"/>
          <w:szCs w:val="32"/>
        </w:rPr>
        <w:t>上年</w:t>
      </w:r>
      <w:r>
        <w:rPr>
          <w:rFonts w:ascii="仿宋_GB2312" w:hAnsi="宋体" w:eastAsia="仿宋_GB2312" w:cs="仿宋_GB2312"/>
          <w:color w:val="000000"/>
          <w:kern w:val="0"/>
          <w:sz w:val="32"/>
          <w:szCs w:val="32"/>
        </w:rPr>
        <w:t>相比，财政拨款支出增加</w:t>
      </w:r>
      <w:r>
        <w:rPr>
          <w:rFonts w:hint="eastAsia" w:ascii="仿宋_GB2312" w:hAnsi="宋体" w:eastAsia="仿宋_GB2312" w:cs="仿宋_GB2312"/>
          <w:color w:val="000000"/>
          <w:kern w:val="0"/>
          <w:sz w:val="32"/>
          <w:szCs w:val="32"/>
          <w:lang w:val="en-US" w:eastAsia="zh-CN"/>
        </w:rPr>
        <w:t>1323402761.57</w:t>
      </w:r>
      <w:r>
        <w:rPr>
          <w:rFonts w:ascii="仿宋_GB2312" w:hAnsi="宋体" w:eastAsia="仿宋_GB2312" w:cs="仿宋_GB2312"/>
          <w:color w:val="000000"/>
          <w:kern w:val="0"/>
          <w:sz w:val="32"/>
          <w:szCs w:val="32"/>
        </w:rPr>
        <w:t>元，增长</w:t>
      </w:r>
      <w:r>
        <w:rPr>
          <w:rFonts w:hint="eastAsia" w:ascii="仿宋_GB2312" w:hAnsi="宋体" w:eastAsia="仿宋_GB2312" w:cs="仿宋_GB2312"/>
          <w:color w:val="000000"/>
          <w:kern w:val="0"/>
          <w:sz w:val="32"/>
          <w:szCs w:val="32"/>
          <w:lang w:val="en-US" w:eastAsia="zh-CN"/>
        </w:rPr>
        <w:t>99</w:t>
      </w:r>
      <w:r>
        <w:rPr>
          <w:rFonts w:ascii="仿宋_GB2312" w:hAnsi="宋体" w:eastAsia="仿宋_GB2312" w:cs="仿宋_GB2312"/>
          <w:color w:val="000000"/>
          <w:kern w:val="0"/>
          <w:sz w:val="32"/>
          <w:szCs w:val="32"/>
        </w:rPr>
        <w:t>%，主要</w:t>
      </w:r>
      <w:r>
        <w:rPr>
          <w:rFonts w:hint="eastAsia" w:ascii="仿宋_GB2312" w:hAnsi="宋体" w:eastAsia="仿宋_GB2312" w:cs="仿宋_GB2312"/>
          <w:color w:val="000000"/>
          <w:kern w:val="0"/>
          <w:sz w:val="32"/>
          <w:szCs w:val="32"/>
        </w:rPr>
        <w:t>原因是</w:t>
      </w:r>
      <w:r>
        <w:rPr>
          <w:rFonts w:hint="eastAsia" w:ascii="仿宋_GB2312" w:hAnsi="宋体" w:eastAsia="仿宋_GB2312" w:cs="仿宋_GB2312"/>
          <w:color w:val="000000"/>
          <w:kern w:val="0"/>
          <w:sz w:val="32"/>
          <w:szCs w:val="32"/>
          <w:lang w:eastAsia="zh-CN"/>
        </w:rPr>
        <w:t>主要支出为</w:t>
      </w:r>
      <w:r>
        <w:rPr>
          <w:rFonts w:hint="eastAsia" w:ascii="仿宋_GB2312" w:hAnsi="仿宋" w:eastAsia="仿宋_GB2312"/>
          <w:sz w:val="32"/>
          <w:szCs w:val="32"/>
          <w:lang w:eastAsia="zh-CN"/>
        </w:rPr>
        <w:t>土地收储及征地补偿、城乡社区、自然资源、灾害防治等支出</w:t>
      </w:r>
      <w:r>
        <w:rPr>
          <w:rFonts w:hint="eastAsia" w:ascii="仿宋_GB2312" w:hAnsi="宋体" w:eastAsia="仿宋_GB2312" w:cs="仿宋_GB2312"/>
          <w:color w:val="000000"/>
          <w:kern w:val="0"/>
          <w:sz w:val="32"/>
          <w:szCs w:val="32"/>
        </w:rPr>
        <w:t>。</w:t>
      </w:r>
    </w:p>
    <w:p>
      <w:pPr>
        <w:widowControl/>
        <w:jc w:val="center"/>
        <w:rPr>
          <w:rFonts w:hint="eastAsia" w:ascii="仿宋_GB2312" w:hAnsi="宋体" w:eastAsia="仿宋_GB2312" w:cs="仿宋_GB2312"/>
          <w:color w:val="000000"/>
          <w:kern w:val="0"/>
          <w:sz w:val="32"/>
          <w:szCs w:val="32"/>
        </w:rPr>
      </w:pPr>
      <w:r>
        <w:drawing>
          <wp:inline distT="0" distB="0" distL="114300" distR="114300">
            <wp:extent cx="3645535" cy="2146300"/>
            <wp:effectExtent l="4445" t="4445" r="7620" b="2095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ind w:firstLine="642" w:firstLineChars="2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w:t>
      </w:r>
      <w:r>
        <w:rPr>
          <w:rFonts w:ascii="楷体_GB2312" w:hAnsi="宋体" w:eastAsia="楷体_GB2312" w:cs="楷体_GB2312"/>
          <w:b/>
          <w:color w:val="000000"/>
          <w:kern w:val="0"/>
          <w:sz w:val="32"/>
          <w:szCs w:val="32"/>
        </w:rPr>
        <w:t>财政拨款支出决算具体情况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pPr>
        <w:widowControl/>
        <w:ind w:firstLine="640" w:firstLineChars="200"/>
        <w:jc w:val="left"/>
        <w:rPr>
          <w:rFonts w:hint="eastAsia" w:eastAsia="仿宋_GB2312"/>
          <w:lang w:eastAsia="zh-CN"/>
        </w:rPr>
      </w:pPr>
      <w:r>
        <w:rPr>
          <w:rFonts w:ascii="仿宋_GB2312" w:hAnsi="宋体" w:eastAsia="仿宋_GB2312" w:cs="仿宋_GB2312"/>
          <w:color w:val="000000"/>
          <w:kern w:val="0"/>
          <w:sz w:val="32"/>
          <w:szCs w:val="32"/>
        </w:rPr>
        <w:t>2019 年财政拨款支出年初预算为</w:t>
      </w:r>
      <w:r>
        <w:rPr>
          <w:rFonts w:hint="eastAsia" w:ascii="仿宋_GB2312" w:hAnsi="宋体" w:eastAsia="仿宋_GB2312" w:cs="仿宋_GB2312"/>
          <w:color w:val="000000"/>
          <w:kern w:val="0"/>
          <w:sz w:val="32"/>
          <w:szCs w:val="32"/>
        </w:rPr>
        <w:t>24744.040997</w:t>
      </w:r>
      <w:r>
        <w:rPr>
          <w:rFonts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eastAsia="zh-CN"/>
        </w:rPr>
        <w:t>调整预算数为132975.763566万元，</w:t>
      </w:r>
      <w:r>
        <w:rPr>
          <w:rFonts w:ascii="仿宋_GB2312" w:hAnsi="宋体" w:eastAsia="仿宋_GB2312" w:cs="仿宋_GB2312"/>
          <w:color w:val="000000"/>
          <w:kern w:val="0"/>
          <w:sz w:val="32"/>
          <w:szCs w:val="32"/>
        </w:rPr>
        <w:t>支出决算为</w:t>
      </w:r>
      <w:r>
        <w:rPr>
          <w:rFonts w:hint="eastAsia" w:ascii="仿宋_GB2312" w:hAnsi="宋体" w:eastAsia="仿宋_GB2312" w:cs="仿宋_GB2312"/>
          <w:color w:val="000000"/>
          <w:kern w:val="0"/>
          <w:sz w:val="32"/>
          <w:szCs w:val="32"/>
        </w:rPr>
        <w:t>132861.626157</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lang w:val="en-US" w:eastAsia="zh-CN"/>
        </w:rPr>
        <w:t>99</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按照政府功能分类科目，</w:t>
      </w:r>
      <w:r>
        <w:rPr>
          <w:rFonts w:ascii="仿宋_GB2312" w:hAnsi="宋体" w:eastAsia="仿宋_GB2312" w:cs="仿宋_GB2312"/>
          <w:color w:val="000000"/>
          <w:kern w:val="0"/>
          <w:sz w:val="32"/>
          <w:szCs w:val="32"/>
        </w:rPr>
        <w:t>其中</w:t>
      </w:r>
      <w:r>
        <w:rPr>
          <w:rFonts w:hint="eastAsia" w:ascii="仿宋_GB2312" w:hAnsi="宋体" w:eastAsia="仿宋_GB2312" w:cs="仿宋_GB2312"/>
          <w:color w:val="000000"/>
          <w:kern w:val="0"/>
          <w:sz w:val="32"/>
          <w:szCs w:val="32"/>
          <w:lang w:eastAsia="zh-CN"/>
        </w:rPr>
        <w:t>主要分为</w:t>
      </w:r>
      <w:r>
        <w:rPr>
          <w:rFonts w:ascii="仿宋_GB2312" w:hAnsi="宋体" w:eastAsia="仿宋_GB2312" w:cs="仿宋_GB2312"/>
          <w:color w:val="000000"/>
          <w:kern w:val="0"/>
          <w:sz w:val="32"/>
          <w:szCs w:val="32"/>
        </w:rPr>
        <w:t>：</w:t>
      </w:r>
      <w:r>
        <w:rPr>
          <w:rFonts w:hint="eastAsia" w:ascii="仿宋_GB2312" w:hAnsi="仿宋" w:eastAsia="仿宋_GB2312"/>
          <w:sz w:val="32"/>
          <w:szCs w:val="32"/>
          <w:lang w:eastAsia="zh-CN"/>
        </w:rPr>
        <w:t>土地收储及征地补偿</w:t>
      </w:r>
      <w:r>
        <w:rPr>
          <w:rFonts w:hint="eastAsia" w:ascii="仿宋_GB2312" w:hAnsi="宋体" w:eastAsia="仿宋_GB2312" w:cs="仿宋_GB2312"/>
          <w:color w:val="000000"/>
          <w:kern w:val="0"/>
          <w:sz w:val="32"/>
          <w:szCs w:val="32"/>
          <w:lang w:eastAsia="zh-CN"/>
        </w:rPr>
        <w:t>、自然资源管理等、灾害防治及应急管理、人员经费等支出。</w:t>
      </w:r>
    </w:p>
    <w:p>
      <w:pPr>
        <w:widowControl/>
        <w:ind w:firstLine="642" w:firstLineChars="200"/>
        <w:jc w:val="left"/>
      </w:pPr>
      <w:r>
        <w:rPr>
          <w:rFonts w:ascii="仿宋_GB2312" w:hAnsi="宋体" w:eastAsia="仿宋_GB2312" w:cs="仿宋_GB2312"/>
          <w:b/>
          <w:color w:val="000000"/>
          <w:kern w:val="0"/>
          <w:sz w:val="32"/>
          <w:szCs w:val="32"/>
        </w:rPr>
        <w:t xml:space="preserve">1.一般公共服务支出（类）财政事务（款）行政运行（项）。 </w:t>
      </w:r>
    </w:p>
    <w:p>
      <w:pPr>
        <w:widowControl/>
        <w:ind w:firstLine="640" w:firstLineChars="200"/>
        <w:jc w:val="left"/>
      </w:pPr>
      <w:r>
        <w:rPr>
          <w:rFonts w:ascii="仿宋_GB2312" w:hAnsi="宋体" w:eastAsia="仿宋_GB2312" w:cs="仿宋_GB2312"/>
          <w:color w:val="000000"/>
          <w:kern w:val="0"/>
          <w:sz w:val="32"/>
          <w:szCs w:val="32"/>
        </w:rPr>
        <w:t>年初预算为</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万元，完成年初预算的</w:t>
      </w:r>
      <w:r>
        <w:rPr>
          <w:rFonts w:hint="eastAsia" w:ascii="仿宋_GB2312" w:hAnsi="宋体" w:eastAsia="仿宋_GB2312" w:cs="仿宋_GB2312"/>
          <w:color w:val="000000"/>
          <w:kern w:val="0"/>
          <w:sz w:val="32"/>
          <w:szCs w:val="32"/>
          <w:lang w:val="en-US" w:eastAsia="zh-CN"/>
        </w:rPr>
        <w:t>100</w:t>
      </w:r>
      <w:r>
        <w:rPr>
          <w:rFonts w:ascii="仿宋_GB2312" w:hAnsi="宋体" w:eastAsia="仿宋_GB2312" w:cs="仿宋_GB2312"/>
          <w:color w:val="000000"/>
          <w:kern w:val="0"/>
          <w:sz w:val="32"/>
          <w:szCs w:val="32"/>
        </w:rPr>
        <w:t>%。</w:t>
      </w:r>
    </w:p>
    <w:p>
      <w:pPr>
        <w:spacing w:line="360" w:lineRule="auto"/>
        <w:ind w:firstLine="640" w:firstLineChars="200"/>
        <w:rPr>
          <w:rFonts w:ascii="仿宋_GB2312" w:hAnsi="仿宋" w:eastAsia="仿宋_GB2312"/>
          <w:sz w:val="32"/>
          <w:szCs w:val="32"/>
        </w:rPr>
      </w:pPr>
      <w:r>
        <w:rPr>
          <w:rFonts w:hint="eastAsia" w:ascii="黑体" w:hAnsi="黑体" w:eastAsia="黑体"/>
          <w:color w:val="000000"/>
          <w:kern w:val="0"/>
          <w:sz w:val="32"/>
          <w:szCs w:val="32"/>
        </w:rPr>
        <w:t xml:space="preserve">六、一般公共预算财政拨款基本支出决算情况说明 </w:t>
      </w:r>
    </w:p>
    <w:p>
      <w:pPr>
        <w:widowControl/>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年一般公共预算财政拨款基本支出</w:t>
      </w:r>
      <w:r>
        <w:rPr>
          <w:rFonts w:hint="eastAsia" w:ascii="仿宋_GB2312" w:hAnsi="仿宋_GB2312" w:eastAsia="仿宋_GB2312" w:cs="仿宋_GB2312"/>
          <w:color w:val="000000"/>
          <w:kern w:val="0"/>
          <w:sz w:val="31"/>
          <w:szCs w:val="31"/>
        </w:rPr>
        <w:t>200.03014</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rPr>
        <w:t>188.282944</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rPr>
        <w:t>11.747196</w:t>
      </w:r>
      <w:r>
        <w:rPr>
          <w:rFonts w:ascii="仿宋_GB2312" w:hAnsi="仿宋_GB2312" w:eastAsia="仿宋_GB2312" w:cs="仿宋_GB2312"/>
          <w:color w:val="000000"/>
          <w:kern w:val="0"/>
          <w:sz w:val="31"/>
          <w:szCs w:val="31"/>
        </w:rPr>
        <w:t>万元。</w:t>
      </w:r>
    </w:p>
    <w:p>
      <w:pPr>
        <w:widowControl/>
        <w:ind w:firstLine="642" w:firstLineChars="200"/>
        <w:jc w:val="left"/>
        <w:rPr>
          <w:rFonts w:ascii="仿宋_GB2312" w:hAnsi="宋体" w:eastAsia="仿宋_GB2312" w:cs="仿宋_GB2312"/>
          <w:color w:val="000000"/>
          <w:kern w:val="0"/>
          <w:sz w:val="32"/>
          <w:szCs w:val="32"/>
        </w:rPr>
      </w:pPr>
      <w:r>
        <w:rPr>
          <w:rFonts w:ascii="仿宋_GB2312" w:hAnsi="宋体" w:eastAsia="仿宋_GB2312" w:cs="仿宋_GB2312"/>
          <w:b/>
          <w:bCs/>
          <w:color w:val="000000"/>
          <w:kern w:val="0"/>
          <w:sz w:val="32"/>
          <w:szCs w:val="32"/>
        </w:rPr>
        <w:t>人员经费</w:t>
      </w:r>
      <w:r>
        <w:rPr>
          <w:rFonts w:hint="eastAsia" w:ascii="仿宋_GB2312" w:hAnsi="仿宋_GB2312" w:eastAsia="仿宋_GB2312" w:cs="仿宋_GB2312"/>
          <w:color w:val="000000"/>
          <w:kern w:val="0"/>
          <w:sz w:val="31"/>
          <w:szCs w:val="31"/>
        </w:rPr>
        <w:t>188.282944</w:t>
      </w:r>
      <w:r>
        <w:rPr>
          <w:rFonts w:ascii="仿宋_GB2312" w:hAnsi="宋体" w:eastAsia="仿宋_GB2312" w:cs="仿宋_GB2312"/>
          <w:color w:val="000000"/>
          <w:kern w:val="0"/>
          <w:sz w:val="32"/>
          <w:szCs w:val="32"/>
        </w:rPr>
        <w:t>万元，主要包括</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基本工资</w:t>
      </w:r>
      <w:r>
        <w:rPr>
          <w:rFonts w:hint="eastAsia" w:ascii="仿宋_GB2312" w:hAnsi="宋体" w:eastAsia="仿宋_GB2312" w:cs="仿宋_GB2312"/>
          <w:color w:val="000000"/>
          <w:kern w:val="0"/>
          <w:sz w:val="32"/>
          <w:szCs w:val="32"/>
        </w:rPr>
        <w:t>37</w:t>
      </w:r>
      <w:r>
        <w:rPr>
          <w:rFonts w:hint="eastAsia" w:ascii="仿宋_GB2312" w:hAnsi="宋体" w:eastAsia="仿宋_GB2312" w:cs="仿宋_GB2312"/>
          <w:color w:val="000000"/>
          <w:kern w:val="0"/>
          <w:sz w:val="32"/>
          <w:szCs w:val="32"/>
          <w:lang w:val="en-US" w:eastAsia="zh-CN"/>
        </w:rPr>
        <w:t>.</w:t>
      </w:r>
      <w:r>
        <w:rPr>
          <w:rFonts w:hint="eastAsia" w:ascii="仿宋_GB2312" w:hAnsi="宋体" w:eastAsia="仿宋_GB2312" w:cs="仿宋_GB2312"/>
          <w:color w:val="000000"/>
          <w:kern w:val="0"/>
          <w:sz w:val="32"/>
          <w:szCs w:val="32"/>
        </w:rPr>
        <w:t>0553万元</w:t>
      </w:r>
      <w:r>
        <w:rPr>
          <w:rFonts w:hint="eastAsia" w:ascii="仿宋_GB2312" w:hAnsi="宋体" w:eastAsia="仿宋_GB2312" w:cs="仿宋_GB2312"/>
          <w:color w:val="000000"/>
          <w:kern w:val="0"/>
          <w:sz w:val="32"/>
          <w:szCs w:val="32"/>
          <w:lang w:eastAsia="zh-CN"/>
        </w:rPr>
        <w:t>，津贴补贴39</w:t>
      </w:r>
      <w:r>
        <w:rPr>
          <w:rFonts w:hint="eastAsia" w:ascii="仿宋_GB2312" w:hAnsi="宋体" w:eastAsia="仿宋_GB2312" w:cs="仿宋_GB2312"/>
          <w:color w:val="000000"/>
          <w:kern w:val="0"/>
          <w:sz w:val="32"/>
          <w:szCs w:val="32"/>
          <w:lang w:val="en-US" w:eastAsia="zh-CN"/>
        </w:rPr>
        <w:t>.</w:t>
      </w:r>
      <w:r>
        <w:rPr>
          <w:rFonts w:hint="eastAsia" w:ascii="仿宋_GB2312" w:hAnsi="宋体" w:eastAsia="仿宋_GB2312" w:cs="仿宋_GB2312"/>
          <w:color w:val="000000"/>
          <w:kern w:val="0"/>
          <w:sz w:val="32"/>
          <w:szCs w:val="32"/>
          <w:lang w:eastAsia="zh-CN"/>
        </w:rPr>
        <w:t>7798万元，奖金48</w:t>
      </w:r>
      <w:r>
        <w:rPr>
          <w:rFonts w:hint="eastAsia" w:ascii="仿宋_GB2312" w:hAnsi="宋体" w:eastAsia="仿宋_GB2312" w:cs="仿宋_GB2312"/>
          <w:color w:val="000000"/>
          <w:kern w:val="0"/>
          <w:sz w:val="32"/>
          <w:szCs w:val="32"/>
          <w:lang w:val="en-US" w:eastAsia="zh-CN"/>
        </w:rPr>
        <w:t>.</w:t>
      </w:r>
      <w:r>
        <w:rPr>
          <w:rFonts w:hint="eastAsia" w:ascii="仿宋_GB2312" w:hAnsi="宋体" w:eastAsia="仿宋_GB2312" w:cs="仿宋_GB2312"/>
          <w:color w:val="000000"/>
          <w:kern w:val="0"/>
          <w:sz w:val="32"/>
          <w:szCs w:val="32"/>
          <w:lang w:eastAsia="zh-CN"/>
        </w:rPr>
        <w:t>2491，绩效工资11</w:t>
      </w:r>
      <w:r>
        <w:rPr>
          <w:rFonts w:hint="eastAsia" w:ascii="仿宋_GB2312" w:hAnsi="宋体" w:eastAsia="仿宋_GB2312" w:cs="仿宋_GB2312"/>
          <w:color w:val="000000"/>
          <w:kern w:val="0"/>
          <w:sz w:val="32"/>
          <w:szCs w:val="32"/>
          <w:lang w:val="en-US" w:eastAsia="zh-CN"/>
        </w:rPr>
        <w:t>.</w:t>
      </w:r>
      <w:r>
        <w:rPr>
          <w:rFonts w:hint="eastAsia" w:ascii="仿宋_GB2312" w:hAnsi="宋体" w:eastAsia="仿宋_GB2312" w:cs="仿宋_GB2312"/>
          <w:color w:val="000000"/>
          <w:kern w:val="0"/>
          <w:sz w:val="32"/>
          <w:szCs w:val="32"/>
          <w:lang w:eastAsia="zh-CN"/>
        </w:rPr>
        <w:t>0938，机关事业单位基本养老保险缴费14.44292等</w:t>
      </w:r>
      <w:r>
        <w:rPr>
          <w:rFonts w:hint="eastAsia" w:ascii="仿宋_GB2312" w:hAnsi="宋体" w:eastAsia="仿宋_GB2312" w:cs="仿宋_GB2312"/>
          <w:color w:val="000000"/>
          <w:kern w:val="0"/>
          <w:sz w:val="32"/>
          <w:szCs w:val="32"/>
        </w:rPr>
        <w:t>）。</w:t>
      </w:r>
    </w:p>
    <w:p>
      <w:pPr>
        <w:widowControl/>
        <w:ind w:firstLine="642" w:firstLineChars="200"/>
        <w:jc w:val="left"/>
      </w:pPr>
      <w:r>
        <w:rPr>
          <w:rFonts w:ascii="仿宋_GB2312" w:hAnsi="宋体" w:eastAsia="仿宋_GB2312" w:cs="仿宋_GB2312"/>
          <w:b/>
          <w:bCs/>
          <w:color w:val="000000"/>
          <w:kern w:val="0"/>
          <w:sz w:val="32"/>
          <w:szCs w:val="32"/>
        </w:rPr>
        <w:t>公用经费</w:t>
      </w:r>
      <w:r>
        <w:rPr>
          <w:rFonts w:hint="eastAsia" w:ascii="仿宋_GB2312" w:hAnsi="仿宋_GB2312" w:eastAsia="仿宋_GB2312" w:cs="仿宋_GB2312"/>
          <w:color w:val="000000"/>
          <w:kern w:val="0"/>
          <w:sz w:val="31"/>
          <w:szCs w:val="31"/>
        </w:rPr>
        <w:t>11.747196</w:t>
      </w:r>
      <w:r>
        <w:rPr>
          <w:rFonts w:ascii="仿宋_GB2312" w:hAnsi="宋体" w:eastAsia="仿宋_GB2312" w:cs="仿宋_GB2312"/>
          <w:color w:val="000000"/>
          <w:kern w:val="0"/>
          <w:sz w:val="32"/>
          <w:szCs w:val="32"/>
        </w:rPr>
        <w:t>万元，主要包括</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eastAsia="zh-CN"/>
        </w:rPr>
        <w:t>行政单位机关运行经费）</w:t>
      </w:r>
      <w:r>
        <w:rPr>
          <w:rFonts w:hint="eastAsia" w:ascii="仿宋_GB2312" w:hAnsi="宋体" w:eastAsia="仿宋_GB2312" w:cs="仿宋_GB2312"/>
          <w:color w:val="000000"/>
          <w:kern w:val="0"/>
          <w:sz w:val="32"/>
          <w:szCs w:val="32"/>
        </w:rPr>
        <w:t>。</w:t>
      </w:r>
    </w:p>
    <w:p>
      <w:pPr>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 xml:space="preserve">七、一般公共预算财政拨款“三公”经费及会议费、培训费支出决算情况说明 </w:t>
      </w:r>
    </w:p>
    <w:p>
      <w:pPr>
        <w:widowControl/>
        <w:ind w:firstLine="642" w:firstLineChars="200"/>
        <w:jc w:val="left"/>
      </w:pPr>
      <w:r>
        <w:rPr>
          <w:rFonts w:ascii="楷体_GB2312" w:hAnsi="宋体" w:eastAsia="楷体_GB2312" w:cs="楷体_GB2312"/>
          <w:b/>
          <w:color w:val="000000"/>
          <w:kern w:val="0"/>
          <w:sz w:val="32"/>
          <w:szCs w:val="32"/>
        </w:rPr>
        <w:t>（一）“三公”经费财政拨款支出决算总体情况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 xml:space="preserve">。 </w:t>
      </w:r>
    </w:p>
    <w:p>
      <w:pPr>
        <w:widowControl/>
        <w:ind w:firstLine="640" w:firstLineChars="200"/>
        <w:jc w:val="left"/>
        <w:rPr>
          <w:rFonts w:hint="eastAsia"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2019年“三公”经费财政拨款支出预算为</w:t>
      </w:r>
      <w:r>
        <w:rPr>
          <w:rFonts w:hint="eastAsia" w:ascii="仿宋_GB2312" w:hAnsi="宋体" w:eastAsia="仿宋_GB2312" w:cs="仿宋_GB2312"/>
          <w:color w:val="000000"/>
          <w:kern w:val="0"/>
          <w:sz w:val="32"/>
          <w:szCs w:val="32"/>
          <w:lang w:val="en-US" w:eastAsia="zh-CN"/>
        </w:rPr>
        <w:t>4.5</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3.3293</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lang w:val="en-US" w:eastAsia="zh-CN"/>
        </w:rPr>
        <w:t>83</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较</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rPr>
        <w:t>减少</w:t>
      </w:r>
      <w:r>
        <w:rPr>
          <w:rFonts w:hint="eastAsia" w:ascii="仿宋_GB2312" w:hAnsi="宋体" w:eastAsia="仿宋_GB2312" w:cs="仿宋_GB2312"/>
          <w:color w:val="000000"/>
          <w:kern w:val="0"/>
          <w:sz w:val="32"/>
          <w:szCs w:val="32"/>
          <w:lang w:val="en-US" w:eastAsia="zh-CN"/>
        </w:rPr>
        <w:t>1.1707</w:t>
      </w:r>
      <w:r>
        <w:rPr>
          <w:rFonts w:hint="eastAsia" w:ascii="仿宋_GB2312" w:hAnsi="宋体" w:eastAsia="仿宋_GB2312" w:cs="仿宋_GB2312"/>
          <w:color w:val="000000"/>
          <w:kern w:val="0"/>
          <w:sz w:val="32"/>
          <w:szCs w:val="32"/>
        </w:rPr>
        <w:t>万元，</w:t>
      </w:r>
      <w:r>
        <w:rPr>
          <w:rFonts w:ascii="仿宋_GB2312" w:hAnsi="宋体" w:eastAsia="仿宋_GB2312" w:cs="仿宋_GB2312"/>
          <w:color w:val="000000"/>
          <w:kern w:val="0"/>
          <w:sz w:val="32"/>
          <w:szCs w:val="32"/>
        </w:rPr>
        <w:t>主要原因是</w:t>
      </w:r>
      <w:r>
        <w:rPr>
          <w:rFonts w:hint="eastAsia" w:ascii="仿宋_GB2312" w:hAnsi="宋体" w:eastAsia="仿宋_GB2312" w:cs="仿宋_GB2312"/>
          <w:color w:val="000000"/>
          <w:kern w:val="0"/>
          <w:sz w:val="32"/>
          <w:szCs w:val="32"/>
          <w:lang w:eastAsia="zh-CN"/>
        </w:rPr>
        <w:t>公务接待费用减少</w:t>
      </w:r>
      <w:r>
        <w:rPr>
          <w:rFonts w:hint="eastAsia" w:ascii="仿宋_GB2312" w:hAnsi="宋体" w:eastAsia="仿宋_GB2312" w:cs="仿宋_GB2312"/>
          <w:color w:val="000000"/>
          <w:kern w:val="0"/>
          <w:sz w:val="32"/>
          <w:szCs w:val="32"/>
        </w:rPr>
        <w:t>。</w:t>
      </w:r>
    </w:p>
    <w:p>
      <w:pPr>
        <w:spacing w:line="360" w:lineRule="auto"/>
        <w:ind w:firstLine="642" w:firstLineChars="2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w:t>
      </w:r>
      <w:r>
        <w:rPr>
          <w:rFonts w:ascii="楷体_GB2312" w:hAnsi="宋体" w:eastAsia="楷体_GB2312" w:cs="楷体_GB2312"/>
          <w:b/>
          <w:color w:val="000000"/>
          <w:kern w:val="0"/>
          <w:sz w:val="32"/>
          <w:szCs w:val="32"/>
        </w:rPr>
        <w:t>“三公”经费财政拨款支出决算具体情况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pPr>
        <w:widowControl/>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2019年“三公”经费财政拨款支出决算中，因公出国（境）费支出决算</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%；公务用车购置</w:t>
      </w:r>
      <w:r>
        <w:rPr>
          <w:rFonts w:hint="eastAsia" w:ascii="仿宋_GB2312" w:hAnsi="宋体" w:eastAsia="仿宋_GB2312" w:cs="仿宋_GB2312"/>
          <w:color w:val="000000"/>
          <w:kern w:val="0"/>
          <w:sz w:val="32"/>
          <w:szCs w:val="32"/>
        </w:rPr>
        <w:t>费支出</w:t>
      </w:r>
      <w:r>
        <w:rPr>
          <w:rFonts w:hint="eastAsia" w:ascii="仿宋_GB2312" w:hAnsi="宋体" w:eastAsia="仿宋_GB2312" w:cs="仿宋_GB2312"/>
          <w:color w:val="000000"/>
          <w:kern w:val="0"/>
          <w:sz w:val="32"/>
          <w:szCs w:val="32"/>
          <w:lang w:val="en-US" w:eastAsia="zh-CN"/>
        </w:rPr>
        <w:t>0</w:t>
      </w:r>
      <w:r>
        <w:rPr>
          <w:rFonts w:hint="eastAsia"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rPr>
        <w:t>费支出决算</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%；公务接待费支出决算</w:t>
      </w:r>
      <w:r>
        <w:rPr>
          <w:rFonts w:hint="eastAsia" w:ascii="仿宋_GB2312" w:hAnsi="宋体" w:eastAsia="仿宋_GB2312" w:cs="仿宋_GB2312"/>
          <w:color w:val="000000"/>
          <w:kern w:val="0"/>
          <w:sz w:val="32"/>
          <w:szCs w:val="32"/>
          <w:lang w:val="en-US" w:eastAsia="zh-CN"/>
        </w:rPr>
        <w:t>4.5</w:t>
      </w:r>
      <w:r>
        <w:rPr>
          <w:rFonts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100</w:t>
      </w:r>
      <w:r>
        <w:rPr>
          <w:rFonts w:ascii="仿宋_GB2312" w:hAnsi="宋体" w:eastAsia="仿宋_GB2312" w:cs="仿宋_GB2312"/>
          <w:color w:val="000000"/>
          <w:kern w:val="0"/>
          <w:sz w:val="32"/>
          <w:szCs w:val="32"/>
        </w:rPr>
        <w:t>%。具体情况如下：</w:t>
      </w:r>
    </w:p>
    <w:p>
      <w:pPr>
        <w:widowControl/>
        <w:ind w:firstLine="640" w:firstLineChars="200"/>
        <w:jc w:val="left"/>
        <w:rPr>
          <w:rFonts w:hint="eastAsia" w:ascii="仿宋_GB2312" w:hAnsi="宋体" w:eastAsia="仿宋_GB2312" w:cs="仿宋_GB2312"/>
          <w:color w:val="000000"/>
          <w:kern w:val="0"/>
          <w:sz w:val="32"/>
          <w:szCs w:val="32"/>
          <w:lang w:eastAsia="zh-CN"/>
        </w:rPr>
      </w:pPr>
      <w:r>
        <w:rPr>
          <w:rFonts w:hint="eastAsia" w:ascii="仿宋_GB2312" w:hAnsi="宋体" w:eastAsia="仿宋_GB2312" w:cs="仿宋_GB2312"/>
          <w:color w:val="000000"/>
          <w:kern w:val="0"/>
          <w:sz w:val="32"/>
          <w:szCs w:val="32"/>
          <w:lang w:eastAsia="zh-CN"/>
        </w:rPr>
        <w:drawing>
          <wp:inline distT="0" distB="0" distL="114300" distR="114300">
            <wp:extent cx="4321810" cy="2228850"/>
            <wp:effectExtent l="0" t="0" r="2540" b="0"/>
            <wp:docPr id="1" name="图片 1" descr="1622171515(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622171515(1)"/>
                    <pic:cNvPicPr>
                      <a:picLocks noChangeAspect="true"/>
                    </pic:cNvPicPr>
                  </pic:nvPicPr>
                  <pic:blipFill>
                    <a:blip r:embed="rId10"/>
                    <a:stretch>
                      <a:fillRect/>
                    </a:stretch>
                  </pic:blipFill>
                  <pic:spPr>
                    <a:xfrm>
                      <a:off x="0" y="0"/>
                      <a:ext cx="4321810" cy="2228850"/>
                    </a:xfrm>
                    <a:prstGeom prst="rect">
                      <a:avLst/>
                    </a:prstGeom>
                  </pic:spPr>
                </pic:pic>
              </a:graphicData>
            </a:graphic>
          </wp:inline>
        </w:drawing>
      </w:r>
    </w:p>
    <w:p>
      <w:pPr>
        <w:ind w:firstLine="642" w:firstLineChars="200"/>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widowControl/>
        <w:ind w:firstLine="640" w:firstLineChars="200"/>
        <w:jc w:val="left"/>
      </w:pPr>
      <w:r>
        <w:rPr>
          <w:rFonts w:hint="eastAsia" w:ascii="仿宋_GB2312" w:hAnsi="仿宋" w:eastAsia="仿宋_GB2312"/>
          <w:sz w:val="32"/>
          <w:szCs w:val="32"/>
          <w:lang w:val="en-US" w:eastAsia="zh-CN"/>
        </w:rPr>
        <w:t>2019年无因公出国（境）情况</w:t>
      </w:r>
      <w:r>
        <w:rPr>
          <w:rFonts w:hint="eastAsia" w:ascii="仿宋_GB2312" w:hAnsi="宋体" w:eastAsia="仿宋_GB2312" w:cs="仿宋_GB2312"/>
          <w:color w:val="000000"/>
          <w:kern w:val="0"/>
          <w:sz w:val="32"/>
          <w:szCs w:val="32"/>
        </w:rPr>
        <w:t>。</w:t>
      </w:r>
    </w:p>
    <w:p>
      <w:pPr>
        <w:ind w:firstLine="642" w:firstLineChars="200"/>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widowControl/>
        <w:ind w:firstLine="640" w:firstLineChars="200"/>
        <w:jc w:val="left"/>
        <w:rPr>
          <w:rFonts w:hint="eastAsia" w:eastAsia="仿宋_GB2312"/>
          <w:lang w:eastAsia="zh-CN"/>
        </w:rPr>
      </w:pPr>
      <w:r>
        <w:rPr>
          <w:rFonts w:hint="eastAsia" w:ascii="仿宋_GB2312" w:hAnsi="仿宋" w:eastAsia="仿宋_GB2312"/>
          <w:sz w:val="32"/>
          <w:szCs w:val="32"/>
        </w:rPr>
        <w:t>2019年购置车辆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eastAsia="zh-CN"/>
        </w:rPr>
        <w:t>。</w:t>
      </w:r>
    </w:p>
    <w:p>
      <w:pPr>
        <w:ind w:firstLine="642" w:firstLineChars="200"/>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仿宋" w:eastAsia="仿宋_GB2312"/>
          <w:sz w:val="32"/>
          <w:szCs w:val="32"/>
        </w:rPr>
        <w:t>2019年</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rPr>
        <w:t>，主要原因是</w:t>
      </w:r>
      <w:r>
        <w:rPr>
          <w:rFonts w:hint="eastAsia" w:ascii="仿宋_GB2312" w:hAnsi="宋体" w:eastAsia="仿宋_GB2312" w:cs="仿宋_GB2312"/>
          <w:color w:val="000000"/>
          <w:kern w:val="0"/>
          <w:sz w:val="32"/>
          <w:szCs w:val="32"/>
          <w:lang w:eastAsia="zh-CN"/>
        </w:rPr>
        <w:t>杨凌示范区自然资源和规划局没有公务用车</w:t>
      </w:r>
      <w:r>
        <w:rPr>
          <w:rFonts w:hint="eastAsia" w:ascii="仿宋_GB2312" w:hAnsi="宋体" w:eastAsia="仿宋_GB2312" w:cs="仿宋_GB2312"/>
          <w:color w:val="000000"/>
          <w:kern w:val="0"/>
          <w:sz w:val="32"/>
          <w:szCs w:val="32"/>
        </w:rPr>
        <w:t>。</w:t>
      </w:r>
    </w:p>
    <w:p>
      <w:pPr>
        <w:ind w:firstLine="642" w:firstLineChars="200"/>
        <w:rPr>
          <w:rFonts w:ascii="仿宋_GB2312" w:hAnsi="仿宋" w:eastAsia="仿宋_GB2312"/>
          <w:sz w:val="32"/>
          <w:szCs w:val="32"/>
        </w:rPr>
      </w:pPr>
      <w:r>
        <w:rPr>
          <w:rFonts w:hint="eastAsia" w:ascii="仿宋_GB2312" w:hAnsi="仿宋" w:eastAsia="仿宋_GB2312"/>
          <w:b/>
          <w:bCs/>
          <w:sz w:val="32"/>
          <w:szCs w:val="32"/>
        </w:rPr>
        <w:t>4.公务接待费支出情况</w:t>
      </w:r>
      <w:r>
        <w:rPr>
          <w:rFonts w:hint="eastAsia" w:ascii="楷体_GB2312" w:hAnsi="宋体" w:eastAsia="楷体_GB2312" w:cs="楷体_GB2312"/>
          <w:b/>
          <w:color w:val="000000"/>
          <w:kern w:val="0"/>
          <w:sz w:val="32"/>
          <w:szCs w:val="32"/>
        </w:rPr>
        <w:t>说明</w:t>
      </w:r>
      <w:r>
        <w:rPr>
          <w:rFonts w:hint="eastAsia" w:ascii="仿宋_GB2312" w:hAnsi="仿宋" w:eastAsia="仿宋_GB2312"/>
          <w:b/>
          <w:bCs/>
          <w:sz w:val="32"/>
          <w:szCs w:val="32"/>
        </w:rPr>
        <w:t>。</w:t>
      </w:r>
    </w:p>
    <w:p>
      <w:pPr>
        <w:widowControl/>
        <w:ind w:firstLine="640" w:firstLineChars="200"/>
        <w:jc w:val="left"/>
        <w:rPr>
          <w:rFonts w:hint="eastAsia" w:ascii="仿宋_GB2312" w:hAnsi="宋体" w:eastAsia="仿宋_GB2312" w:cs="仿宋_GB2312"/>
          <w:color w:val="000000"/>
          <w:kern w:val="0"/>
          <w:sz w:val="32"/>
          <w:szCs w:val="32"/>
          <w:lang w:eastAsia="zh-CN"/>
        </w:rPr>
      </w:pPr>
      <w:r>
        <w:rPr>
          <w:rFonts w:hint="eastAsia" w:ascii="仿宋_GB2312" w:hAnsi="仿宋" w:eastAsia="仿宋_GB2312"/>
          <w:sz w:val="32"/>
          <w:szCs w:val="32"/>
        </w:rPr>
        <w:t>2019年公务接待</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lang w:val="en-US" w:eastAsia="zh-CN"/>
        </w:rPr>
        <w:t>4.5</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3.3293</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lang w:val="en-US" w:eastAsia="zh-CN"/>
        </w:rPr>
        <w:t>87</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eastAsia="zh-CN"/>
        </w:rPr>
        <w:t>。</w:t>
      </w:r>
    </w:p>
    <w:p>
      <w:pPr>
        <w:ind w:firstLine="642" w:firstLineChars="2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（三）培训费支出情况说明。</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仿宋" w:eastAsia="仿宋_GB2312"/>
          <w:sz w:val="32"/>
          <w:szCs w:val="32"/>
        </w:rPr>
        <w:t>2019年</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lang w:val="en-US" w:eastAsia="zh-CN"/>
        </w:rPr>
        <w:t>3</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0.6390</w:t>
      </w:r>
      <w:r>
        <w:rPr>
          <w:rFonts w:ascii="仿宋_GB2312" w:hAnsi="宋体" w:eastAsia="仿宋_GB2312" w:cs="仿宋_GB2312"/>
          <w:color w:val="000000"/>
          <w:kern w:val="0"/>
          <w:sz w:val="32"/>
          <w:szCs w:val="32"/>
        </w:rPr>
        <w:t>万元</w:t>
      </w:r>
      <w:r>
        <w:rPr>
          <w:rFonts w:hint="eastAsia" w:ascii="仿宋_GB2312" w:hAnsi="仿宋_GB2312" w:eastAsia="仿宋_GB2312" w:cs="仿宋_GB2312"/>
          <w:sz w:val="32"/>
          <w:szCs w:val="32"/>
        </w:rPr>
        <w:t>（如</w:t>
      </w:r>
      <w:r>
        <w:rPr>
          <w:rFonts w:ascii="仿宋_GB2312" w:hAnsi="宋体" w:eastAsia="仿宋_GB2312" w:cs="仿宋_GB2312"/>
          <w:color w:val="000000"/>
          <w:kern w:val="0"/>
          <w:sz w:val="32"/>
          <w:szCs w:val="32"/>
        </w:rPr>
        <w:t>，完成预算的</w:t>
      </w:r>
      <w:r>
        <w:rPr>
          <w:rFonts w:hint="eastAsia" w:ascii="仿宋_GB2312" w:hAnsi="宋体" w:eastAsia="仿宋_GB2312" w:cs="仿宋_GB2312"/>
          <w:color w:val="000000"/>
          <w:kern w:val="0"/>
          <w:sz w:val="32"/>
          <w:szCs w:val="32"/>
          <w:lang w:val="en-US" w:eastAsia="zh-CN"/>
        </w:rPr>
        <w:t>21</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eastAsia="zh-CN"/>
        </w:rPr>
        <w:t>，主要原因为精文减会</w:t>
      </w:r>
      <w:r>
        <w:rPr>
          <w:rFonts w:hint="eastAsia" w:ascii="仿宋_GB2312" w:hAnsi="宋体" w:eastAsia="仿宋_GB2312" w:cs="仿宋_GB2312"/>
          <w:color w:val="000000"/>
          <w:kern w:val="0"/>
          <w:sz w:val="32"/>
          <w:szCs w:val="32"/>
        </w:rPr>
        <w:t>。</w:t>
      </w:r>
    </w:p>
    <w:p>
      <w:pPr>
        <w:spacing w:line="360" w:lineRule="auto"/>
        <w:ind w:firstLine="642" w:firstLineChars="200"/>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（四）会议费支出情况说明。</w:t>
      </w:r>
    </w:p>
    <w:p>
      <w:pPr>
        <w:widowControl/>
        <w:ind w:firstLine="640" w:firstLineChars="200"/>
        <w:jc w:val="left"/>
        <w:rPr>
          <w:rFonts w:ascii="仿宋_GB2312" w:hAnsi="宋体" w:eastAsia="仿宋_GB2312" w:cs="仿宋_GB2312"/>
          <w:color w:val="000000"/>
          <w:kern w:val="0"/>
          <w:sz w:val="32"/>
          <w:szCs w:val="32"/>
        </w:rPr>
      </w:pPr>
      <w:r>
        <w:rPr>
          <w:rFonts w:hint="eastAsia" w:ascii="仿宋_GB2312" w:hAnsi="仿宋" w:eastAsia="仿宋_GB2312"/>
          <w:sz w:val="32"/>
          <w:szCs w:val="32"/>
        </w:rPr>
        <w:t>2019年</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lang w:val="en-US" w:eastAsia="zh-CN"/>
        </w:rPr>
        <w:t>100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p>
    <w:p>
      <w:pPr>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 xml:space="preserve">八、政府性基金预算财政拨款收入支出情况说明 </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w:t>
      </w:r>
      <w:r>
        <w:rPr>
          <w:rFonts w:hint="eastAsia" w:ascii="仿宋_GB2312" w:hAnsi="仿宋_GB2312" w:eastAsia="仿宋_GB2312" w:cs="仿宋_GB2312"/>
          <w:sz w:val="32"/>
          <w:szCs w:val="32"/>
          <w:lang w:eastAsia="zh-CN"/>
        </w:rPr>
        <w:t>本年政府性基金决算收入合计132456.757291万元，主要为将直接支付单位资金纳入本单位核算，国有土地使用权出让收入。本年政府性基金支出合计132456.757291万元，主要为对应专项债务收入安排的支出、征地和拆迁补偿支出。</w:t>
      </w:r>
    </w:p>
    <w:p>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九、国有资本经营财政拨款收入支出情况说明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本部门无国有资本经营决算拨款收支</w:t>
      </w:r>
    </w:p>
    <w:p>
      <w:pPr>
        <w:widowControl/>
        <w:ind w:firstLine="640" w:firstLineChars="200"/>
        <w:jc w:val="left"/>
        <w:rPr>
          <w:rFonts w:ascii="黑体" w:hAnsi="黑体" w:eastAsia="黑体"/>
          <w:color w:val="000000"/>
          <w:kern w:val="0"/>
          <w:sz w:val="32"/>
          <w:szCs w:val="32"/>
        </w:rPr>
      </w:pPr>
      <w:r>
        <w:rPr>
          <w:rFonts w:hint="eastAsia" w:ascii="黑体" w:hAnsi="黑体" w:eastAsia="黑体"/>
          <w:color w:val="000000"/>
          <w:kern w:val="0"/>
          <w:sz w:val="32"/>
          <w:szCs w:val="32"/>
        </w:rPr>
        <w:t>十、预算绩效情况说明</w:t>
      </w:r>
    </w:p>
    <w:p>
      <w:pPr>
        <w:widowControl/>
        <w:ind w:left="1280" w:leftChars="304" w:hanging="642" w:hanging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（一）</w:t>
      </w:r>
      <w:r>
        <w:rPr>
          <w:rFonts w:ascii="楷体_GB2312" w:hAnsi="宋体" w:eastAsia="楷体_GB2312" w:cs="楷体_GB2312"/>
          <w:b/>
          <w:color w:val="000000"/>
          <w:kern w:val="0"/>
          <w:sz w:val="32"/>
          <w:szCs w:val="32"/>
        </w:rPr>
        <w:t>预算绩效管理工作开展情况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r>
        <w:rPr>
          <w:rFonts w:hint="eastAsia" w:ascii="楷体_GB2312" w:hAnsi="宋体" w:eastAsia="楷体_GB2312" w:cs="楷体_GB2312"/>
          <w:b/>
          <w:color w:val="000000"/>
          <w:kern w:val="0"/>
          <w:sz w:val="32"/>
          <w:szCs w:val="32"/>
        </w:rPr>
        <w:t xml:space="preserve">     </w:t>
      </w:r>
    </w:p>
    <w:p>
      <w:pPr>
        <w:widowControl/>
        <w:ind w:firstLine="640" w:firstLineChars="200"/>
        <w:jc w:val="left"/>
      </w:pPr>
      <w:r>
        <w:rPr>
          <w:rFonts w:hint="eastAsia" w:ascii="仿宋_GB2312" w:hAnsi="仿宋_GB2312" w:eastAsia="仿宋_GB2312" w:cs="仿宋_GB2312"/>
          <w:sz w:val="32"/>
          <w:szCs w:val="32"/>
        </w:rPr>
        <w:t>根据预算绩效管理要求，本部门组织对 2019</w:t>
      </w:r>
      <w:r>
        <w:rPr>
          <w:rFonts w:ascii="仿宋_GB2312" w:hAnsi="仿宋_GB2312" w:eastAsia="仿宋_GB2312" w:cs="仿宋_GB2312"/>
          <w:sz w:val="32"/>
          <w:szCs w:val="32"/>
        </w:rPr>
        <w:t>年一般公共预算项目支出全面开展绩效自评，其中，一级项目</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11</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rPr>
        <w:t>216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3220</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ascii="仿宋_GB2312" w:hAnsi="仿宋_GB2312" w:eastAsia="仿宋_GB2312" w:cs="仿宋_GB2312"/>
          <w:color w:val="000000"/>
          <w:kern w:val="0"/>
          <w:sz w:val="31"/>
          <w:szCs w:val="31"/>
        </w:rPr>
        <w:t>组织对 2019年</w:t>
      </w:r>
      <w:r>
        <w:rPr>
          <w:rFonts w:hint="eastAsia" w:ascii="仿宋_GB2312" w:hAnsi="仿宋_GB2312" w:eastAsia="仿宋_GB2312" w:cs="仿宋_GB2312"/>
          <w:color w:val="000000"/>
          <w:kern w:val="0"/>
          <w:sz w:val="31"/>
          <w:szCs w:val="31"/>
          <w:lang w:val="en-US" w:eastAsia="zh-CN"/>
        </w:rPr>
        <w:t>1</w:t>
      </w:r>
      <w:r>
        <w:rPr>
          <w:rFonts w:ascii="仿宋_GB2312" w:hAnsi="仿宋_GB2312" w:eastAsia="仿宋_GB2312" w:cs="仿宋_GB2312"/>
          <w:color w:val="000000"/>
          <w:kern w:val="0"/>
          <w:sz w:val="31"/>
          <w:szCs w:val="31"/>
        </w:rPr>
        <w:t>个政府性基金预算项目支出开展绩效自评，共涉及资金</w:t>
      </w:r>
      <w:r>
        <w:rPr>
          <w:rFonts w:hint="eastAsia" w:ascii="仿宋_GB2312" w:hAnsi="仿宋_GB2312" w:eastAsia="仿宋_GB2312" w:cs="仿宋_GB2312"/>
          <w:color w:val="000000"/>
          <w:kern w:val="0"/>
          <w:sz w:val="31"/>
          <w:szCs w:val="31"/>
        </w:rPr>
        <w:t>132456.757291</w:t>
      </w:r>
      <w:r>
        <w:rPr>
          <w:rFonts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ind w:firstLine="642" w:firstLine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w:t>
      </w:r>
      <w:r>
        <w:rPr>
          <w:rFonts w:ascii="楷体_GB2312" w:hAnsi="宋体" w:eastAsia="楷体_GB2312" w:cs="楷体_GB2312"/>
          <w:b/>
          <w:color w:val="000000"/>
          <w:kern w:val="0"/>
          <w:sz w:val="32"/>
          <w:szCs w:val="32"/>
        </w:rPr>
        <w:t>部门决算中项目绩效自评结果。</w:t>
      </w:r>
    </w:p>
    <w:p>
      <w:pPr>
        <w:widowControl/>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一般公共预算财政拨款</w:t>
      </w:r>
      <w:r>
        <w:rPr>
          <w:rFonts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rPr>
        <w:t>303</w:t>
      </w:r>
      <w:r>
        <w:rPr>
          <w:rFonts w:hint="eastAsia" w:ascii="仿宋_GB2312" w:hAnsi="仿宋_GB2312" w:eastAsia="仿宋_GB2312" w:cs="仿宋_GB2312"/>
          <w:color w:val="000000"/>
          <w:kern w:val="0"/>
          <w:sz w:val="31"/>
          <w:szCs w:val="31"/>
          <w:lang w:val="en-US" w:eastAsia="zh-CN"/>
        </w:rPr>
        <w:t>.</w:t>
      </w:r>
      <w:r>
        <w:rPr>
          <w:rFonts w:hint="eastAsia" w:ascii="仿宋_GB2312" w:hAnsi="仿宋_GB2312" w:eastAsia="仿宋_GB2312" w:cs="仿宋_GB2312"/>
          <w:color w:val="000000"/>
          <w:kern w:val="0"/>
          <w:sz w:val="31"/>
          <w:szCs w:val="31"/>
        </w:rPr>
        <w:t>6410</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rPr>
        <w:t>416.35214</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137</w:t>
      </w:r>
      <w:r>
        <w:rPr>
          <w:rFonts w:ascii="仿宋_GB2312" w:hAnsi="仿宋_GB2312" w:eastAsia="仿宋_GB2312" w:cs="仿宋_GB2312"/>
          <w:color w:val="000000"/>
          <w:kern w:val="0"/>
          <w:sz w:val="31"/>
          <w:szCs w:val="31"/>
        </w:rPr>
        <w:t>%。主要产出和效果：通过</w:t>
      </w:r>
      <w:r>
        <w:rPr>
          <w:rFonts w:hint="eastAsia" w:ascii="仿宋_GB2312" w:hAnsi="仿宋_GB2312" w:eastAsia="仿宋_GB2312" w:cs="仿宋_GB2312"/>
          <w:color w:val="000000"/>
          <w:kern w:val="0"/>
          <w:sz w:val="31"/>
          <w:szCs w:val="31"/>
          <w:lang w:eastAsia="zh-CN"/>
        </w:rPr>
        <w:t>自然资源</w:t>
      </w:r>
      <w:r>
        <w:rPr>
          <w:rFonts w:ascii="仿宋_GB2312" w:hAnsi="仿宋_GB2312" w:eastAsia="仿宋_GB2312" w:cs="仿宋_GB2312"/>
          <w:color w:val="000000"/>
          <w:kern w:val="0"/>
          <w:sz w:val="31"/>
          <w:szCs w:val="31"/>
        </w:rPr>
        <w:t>项目实施</w:t>
      </w:r>
      <w:r>
        <w:rPr>
          <w:rFonts w:hint="eastAsia" w:ascii="仿宋_GB2312" w:hAnsi="仿宋_GB2312" w:eastAsia="仿宋_GB2312" w:cs="仿宋_GB2312"/>
          <w:color w:val="000000"/>
          <w:kern w:val="0"/>
          <w:sz w:val="31"/>
          <w:szCs w:val="31"/>
          <w:lang w:eastAsia="zh-CN"/>
        </w:rPr>
        <w:t>项目及省级资金拨付预算收入</w:t>
      </w:r>
      <w:r>
        <w:rPr>
          <w:rFonts w:hint="eastAsia" w:ascii="仿宋_GB2312" w:hAnsi="仿宋_GB2312" w:eastAsia="仿宋_GB2312" w:cs="仿宋_GB2312"/>
          <w:color w:val="000000"/>
          <w:kern w:val="0"/>
          <w:sz w:val="31"/>
          <w:szCs w:val="31"/>
          <w:lang w:val="en-US" w:eastAsia="zh-CN"/>
        </w:rPr>
        <w:t>增加</w:t>
      </w:r>
      <w:r>
        <w:rPr>
          <w:rFonts w:hint="eastAsia" w:ascii="仿宋_GB2312" w:hAnsi="仿宋_GB2312" w:eastAsia="仿宋_GB2312" w:cs="仿宋_GB2312"/>
          <w:color w:val="000000"/>
          <w:kern w:val="0"/>
          <w:sz w:val="31"/>
          <w:szCs w:val="31"/>
        </w:rPr>
        <w:t>。</w:t>
      </w:r>
    </w:p>
    <w:p>
      <w:pPr>
        <w:widowControl/>
        <w:ind w:firstLine="620" w:firstLineChars="200"/>
        <w:jc w:val="center"/>
        <w:rPr>
          <w:rFonts w:hint="eastAsia" w:ascii="仿宋_GB2312" w:hAnsi="仿宋_GB2312" w:eastAsia="仿宋_GB2312" w:cs="仿宋_GB2312"/>
          <w:color w:val="000000"/>
          <w:kern w:val="0"/>
          <w:sz w:val="31"/>
          <w:szCs w:val="31"/>
        </w:rPr>
      </w:pPr>
    </w:p>
    <w:p>
      <w:pPr>
        <w:widowControl/>
        <w:ind w:firstLine="620" w:firstLineChars="200"/>
        <w:jc w:val="left"/>
        <w:rPr>
          <w:rFonts w:hint="eastAsia"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color w:val="000000"/>
          <w:kern w:val="0"/>
          <w:sz w:val="31"/>
          <w:szCs w:val="31"/>
        </w:rPr>
        <w:t>基本支出</w:t>
      </w:r>
      <w:r>
        <w:rPr>
          <w:rFonts w:hint="eastAsia" w:ascii="仿宋_GB2312" w:hAnsi="仿宋_GB2312" w:eastAsia="仿宋_GB2312" w:cs="仿宋_GB2312"/>
          <w:color w:val="000000"/>
          <w:kern w:val="0"/>
          <w:sz w:val="31"/>
          <w:szCs w:val="31"/>
          <w:lang w:eastAsia="zh-CN"/>
        </w:rPr>
        <w:t>本年度221</w:t>
      </w:r>
      <w:r>
        <w:rPr>
          <w:rFonts w:hint="eastAsia" w:ascii="仿宋_GB2312" w:hAnsi="仿宋_GB2312" w:eastAsia="仿宋_GB2312" w:cs="仿宋_GB2312"/>
          <w:color w:val="000000"/>
          <w:kern w:val="0"/>
          <w:sz w:val="31"/>
          <w:szCs w:val="31"/>
          <w:lang w:val="en-US" w:eastAsia="zh-CN"/>
        </w:rPr>
        <w:t>.</w:t>
      </w:r>
      <w:r>
        <w:rPr>
          <w:rFonts w:hint="eastAsia" w:ascii="仿宋_GB2312" w:hAnsi="仿宋_GB2312" w:eastAsia="仿宋_GB2312" w:cs="仿宋_GB2312"/>
          <w:color w:val="000000"/>
          <w:kern w:val="0"/>
          <w:sz w:val="31"/>
          <w:szCs w:val="31"/>
          <w:lang w:eastAsia="zh-CN"/>
        </w:rPr>
        <w:t>317608万元，上年度254</w:t>
      </w:r>
      <w:r>
        <w:rPr>
          <w:rFonts w:hint="eastAsia" w:ascii="仿宋_GB2312" w:hAnsi="仿宋_GB2312" w:eastAsia="仿宋_GB2312" w:cs="仿宋_GB2312"/>
          <w:color w:val="000000"/>
          <w:kern w:val="0"/>
          <w:sz w:val="31"/>
          <w:szCs w:val="31"/>
          <w:lang w:val="en-US" w:eastAsia="zh-CN"/>
        </w:rPr>
        <w:t>.</w:t>
      </w:r>
      <w:r>
        <w:rPr>
          <w:rFonts w:hint="eastAsia" w:ascii="仿宋_GB2312" w:hAnsi="仿宋_GB2312" w:eastAsia="仿宋_GB2312" w:cs="仿宋_GB2312"/>
          <w:color w:val="000000"/>
          <w:kern w:val="0"/>
          <w:sz w:val="31"/>
          <w:szCs w:val="31"/>
          <w:lang w:eastAsia="zh-CN"/>
        </w:rPr>
        <w:t>569225万元，比上年减少33</w:t>
      </w:r>
      <w:r>
        <w:rPr>
          <w:rFonts w:hint="eastAsia" w:ascii="仿宋_GB2312" w:hAnsi="仿宋_GB2312" w:eastAsia="仿宋_GB2312" w:cs="仿宋_GB2312"/>
          <w:color w:val="000000"/>
          <w:kern w:val="0"/>
          <w:sz w:val="31"/>
          <w:szCs w:val="31"/>
          <w:lang w:val="en-US" w:eastAsia="zh-CN"/>
        </w:rPr>
        <w:t>.</w:t>
      </w:r>
      <w:r>
        <w:rPr>
          <w:rFonts w:hint="eastAsia" w:ascii="仿宋_GB2312" w:hAnsi="仿宋_GB2312" w:eastAsia="仿宋_GB2312" w:cs="仿宋_GB2312"/>
          <w:color w:val="000000"/>
          <w:kern w:val="0"/>
          <w:sz w:val="31"/>
          <w:szCs w:val="31"/>
          <w:lang w:eastAsia="zh-CN"/>
        </w:rPr>
        <w:t>251617万元，减少</w:t>
      </w:r>
      <w:r>
        <w:rPr>
          <w:rFonts w:hint="eastAsia" w:ascii="仿宋_GB2312" w:hAnsi="仿宋_GB2312" w:eastAsia="仿宋_GB2312" w:cs="仿宋_GB2312"/>
          <w:color w:val="000000"/>
          <w:kern w:val="0"/>
          <w:sz w:val="31"/>
          <w:szCs w:val="31"/>
          <w:lang w:val="en-US" w:eastAsia="zh-CN"/>
        </w:rPr>
        <w:t>13%。主要原因为厉行节约</w:t>
      </w:r>
      <w:bookmarkStart w:id="1" w:name="_GoBack"/>
      <w:bookmarkEnd w:id="1"/>
      <w:r>
        <w:rPr>
          <w:rFonts w:hint="eastAsia" w:ascii="仿宋_GB2312" w:hAnsi="仿宋_GB2312" w:eastAsia="仿宋_GB2312" w:cs="仿宋_GB2312"/>
          <w:color w:val="000000"/>
          <w:kern w:val="0"/>
          <w:sz w:val="31"/>
          <w:szCs w:val="31"/>
          <w:lang w:val="en-US" w:eastAsia="zh-CN"/>
        </w:rPr>
        <w:t>。</w:t>
      </w:r>
    </w:p>
    <w:p>
      <w:pPr>
        <w:jc w:val="center"/>
        <w:rPr>
          <w:rFonts w:ascii="楷体" w:hAnsi="楷体" w:eastAsia="楷体" w:cs="楷体"/>
          <w:sz w:val="32"/>
          <w:szCs w:val="32"/>
        </w:rPr>
      </w:pPr>
    </w:p>
    <w:p>
      <w:pPr>
        <w:widowControl/>
        <w:ind w:firstLine="640" w:firstLineChars="200"/>
        <w:jc w:val="center"/>
        <w:rPr>
          <w:rFonts w:hint="eastAsia" w:ascii="仿宋_GB2312" w:hAnsi="仿宋_GB2312" w:eastAsia="仿宋_GB2312" w:cs="仿宋_GB2312"/>
          <w:color w:val="000000"/>
          <w:kern w:val="0"/>
          <w:sz w:val="31"/>
          <w:szCs w:val="31"/>
          <w:lang w:val="en-US" w:eastAsia="zh-CN"/>
        </w:rPr>
      </w:pPr>
      <w:bookmarkStart w:id="0" w:name="_MON_1683727307"/>
      <w:bookmarkEnd w:id="0"/>
      <w:r>
        <w:rPr>
          <w:rFonts w:hint="eastAsia" w:ascii="楷体" w:hAnsi="楷体" w:eastAsia="楷体" w:cs="楷体"/>
          <w:sz w:val="32"/>
          <w:szCs w:val="32"/>
        </w:rPr>
        <w:object>
          <v:shape id="_x0000_i1025" o:spt="75" type="#_x0000_t75" style="height:643.65pt;width:409.4pt;" o:ole="t" filled="f" o:preferrelative="t" stroked="f" coordsize="21600,21600">
            <v:path/>
            <v:fill on="f" focussize="0,0"/>
            <v:stroke on="f"/>
            <v:imagedata r:id="rId12" o:title=""/>
            <o:lock v:ext="edit" aspectratio="t"/>
            <w10:wrap type="none"/>
            <w10:anchorlock/>
          </v:shape>
          <o:OLEObject Type="Embed" ProgID="Excel.Sheet.8" ShapeID="_x0000_i1025" DrawAspect="Content" ObjectID="_1468075725" r:id="rId11">
            <o:LockedField>false</o:LockedField>
          </o:OLEObject>
        </w:object>
      </w:r>
    </w:p>
    <w:p>
      <w:pPr>
        <w:widowControl/>
        <w:ind w:firstLine="620" w:firstLineChars="200"/>
        <w:jc w:val="left"/>
        <w:rPr>
          <w:rFonts w:hint="eastAsia" w:ascii="仿宋_GB2312" w:hAnsi="仿宋_GB2312" w:eastAsia="仿宋_GB2312" w:cs="仿宋_GB2312"/>
          <w:color w:val="000000"/>
          <w:kern w:val="0"/>
          <w:sz w:val="31"/>
          <w:szCs w:val="31"/>
          <w:lang w:val="en-US" w:eastAsia="zh-CN"/>
        </w:rPr>
        <w:sectPr>
          <w:pgSz w:w="11906" w:h="16838"/>
          <w:pgMar w:top="1985" w:right="1588" w:bottom="2098" w:left="1474" w:header="851" w:footer="992" w:gutter="0"/>
          <w:cols w:space="0" w:num="1"/>
          <w:docGrid w:type="lines" w:linePitch="315" w:charSpace="0"/>
        </w:sectPr>
      </w:pPr>
    </w:p>
    <w:p>
      <w:pPr>
        <w:widowControl/>
        <w:jc w:val="left"/>
        <w:rPr>
          <w:rFonts w:ascii="楷体" w:hAnsi="楷体" w:eastAsia="楷体" w:cs="楷体"/>
          <w:sz w:val="32"/>
          <w:szCs w:val="32"/>
        </w:rPr>
      </w:pPr>
      <w:r>
        <w:rPr>
          <w:rFonts w:hint="eastAsia" w:ascii="楷体" w:hAnsi="楷体" w:eastAsia="楷体" w:cs="楷体"/>
          <w:sz w:val="32"/>
          <w:szCs w:val="32"/>
        </w:rPr>
        <w:object>
          <v:shape id="_x0000_i1026" o:spt="75" type="#_x0000_t75" style="height:1316.05pt;width:631.65pt;" o:ole="t" filled="f" o:preferrelative="t" stroked="f" coordsize="21600,21600">
            <v:path/>
            <v:fill on="f" focussize="0,0"/>
            <v:stroke on="f"/>
            <v:imagedata r:id="rId14" o:title=""/>
            <o:lock v:ext="edit" aspectratio="t"/>
            <w10:wrap type="none"/>
            <w10:anchorlock/>
          </v:shape>
          <o:OLEObject Type="Embed" ProgID="Excel.Sheet.8" ShapeID="_x0000_i1026" DrawAspect="Content" ObjectID="_1468075726" r:id="rId13">
            <o:LockedField>false</o:LockedField>
          </o:OLEObject>
        </w:object>
      </w:r>
    </w:p>
    <w:p>
      <w:pPr>
        <w:rPr>
          <w:rFonts w:ascii="楷体" w:hAnsi="楷体" w:eastAsia="楷体" w:cs="楷体"/>
          <w:sz w:val="32"/>
          <w:szCs w:val="32"/>
        </w:rPr>
      </w:pPr>
      <w:r>
        <w:rPr>
          <w:rFonts w:hint="eastAsia" w:ascii="楷体" w:hAnsi="楷体" w:eastAsia="楷体" w:cs="楷体"/>
          <w:sz w:val="32"/>
          <w:szCs w:val="32"/>
        </w:rPr>
        <w:object>
          <v:shape id="_x0000_i1027" o:spt="75" type="#_x0000_t75" style="height:387.1pt;width:647.4pt;" o:ole="t" filled="f" o:preferrelative="t" stroked="f" coordsize="21600,21600">
            <v:path/>
            <v:fill on="f" focussize="0,0"/>
            <v:stroke on="f"/>
            <v:imagedata r:id="rId16" o:title=""/>
            <o:lock v:ext="edit" aspectratio="t"/>
            <w10:wrap type="none"/>
            <w10:anchorlock/>
          </v:shape>
          <o:OLEObject Type="Embed" ProgID="Excel.Sheet.8" ShapeID="_x0000_i1027" DrawAspect="Content" ObjectID="_1468075727" r:id="rId15">
            <o:LockedField>false</o:LockedField>
          </o:OLEObject>
        </w:object>
      </w:r>
    </w:p>
    <w:p>
      <w:pPr>
        <w:widowControl/>
        <w:jc w:val="left"/>
        <w:rPr>
          <w:rFonts w:ascii="楷体" w:hAnsi="楷体" w:eastAsia="楷体" w:cs="楷体"/>
          <w:sz w:val="32"/>
          <w:szCs w:val="32"/>
        </w:rPr>
        <w:sectPr>
          <w:pgSz w:w="16838" w:h="11906" w:orient="landscape"/>
          <w:pgMar w:top="1588" w:right="2098" w:bottom="1474" w:left="1985" w:header="851" w:footer="992" w:gutter="0"/>
          <w:cols w:space="0" w:num="1"/>
          <w:docGrid w:type="lines" w:linePitch="315" w:charSpace="0"/>
        </w:sectPr>
      </w:pPr>
      <w:r>
        <w:rPr>
          <w:rFonts w:hint="eastAsia" w:ascii="楷体" w:hAnsi="楷体" w:eastAsia="楷体" w:cs="楷体"/>
          <w:sz w:val="32"/>
          <w:szCs w:val="32"/>
        </w:rPr>
        <w:object>
          <v:shape id="_x0000_i1028" o:spt="75" type="#_x0000_t75" style="height:339pt;width:644.25pt;" o:ole="t" filled="f" o:preferrelative="t" stroked="f" coordsize="21600,21600">
            <v:path/>
            <v:fill on="f" focussize="0,0"/>
            <v:stroke on="f"/>
            <v:imagedata r:id="rId18" o:title=""/>
            <o:lock v:ext="edit" aspectratio="t"/>
            <w10:wrap type="none"/>
            <w10:anchorlock/>
          </v:shape>
          <o:OLEObject Type="Embed" ProgID="Excel.Sheet.8" ShapeID="_x0000_i1028" DrawAspect="Content" ObjectID="_1468075728" r:id="rId17">
            <o:LockedField>false</o:LockedField>
          </o:OLEObject>
        </w:object>
      </w:r>
    </w:p>
    <w:p>
      <w:pPr>
        <w:ind w:firstLine="640" w:firstLineChars="200"/>
        <w:rPr>
          <w:rFonts w:ascii="黑体" w:hAnsi="黑体" w:eastAsia="黑体"/>
          <w:sz w:val="32"/>
          <w:szCs w:val="32"/>
        </w:rPr>
      </w:pPr>
      <w:r>
        <w:rPr>
          <w:rFonts w:hint="eastAsia" w:ascii="黑体" w:hAnsi="黑体" w:eastAsia="黑体"/>
          <w:color w:val="000000"/>
          <w:kern w:val="0"/>
          <w:sz w:val="32"/>
          <w:szCs w:val="32"/>
        </w:rPr>
        <w:t>十一、其他重要事项说明</w:t>
      </w:r>
    </w:p>
    <w:p>
      <w:pPr>
        <w:widowControl/>
        <w:ind w:firstLine="642" w:firstLineChars="200"/>
        <w:jc w:val="left"/>
      </w:pPr>
      <w:r>
        <w:rPr>
          <w:rFonts w:ascii="楷体_GB2312" w:hAnsi="宋体" w:eastAsia="楷体_GB2312" w:cs="楷体_GB2312"/>
          <w:b/>
          <w:color w:val="000000"/>
          <w:kern w:val="0"/>
          <w:sz w:val="32"/>
          <w:szCs w:val="32"/>
        </w:rPr>
        <w:t>（一）机关运行经费支出情况</w:t>
      </w:r>
      <w:r>
        <w:rPr>
          <w:rFonts w:hint="eastAsia" w:ascii="楷体_GB2312" w:hAnsi="宋体" w:eastAsia="楷体_GB2312" w:cs="楷体_GB2312"/>
          <w:b/>
          <w:color w:val="000000"/>
          <w:kern w:val="0"/>
          <w:sz w:val="32"/>
          <w:szCs w:val="32"/>
        </w:rPr>
        <w:t>说明</w:t>
      </w:r>
      <w:r>
        <w:rPr>
          <w:rFonts w:ascii="楷体_GB2312" w:hAnsi="宋体" w:eastAsia="楷体_GB2312" w:cs="楷体_GB2312"/>
          <w:b/>
          <w:color w:val="000000"/>
          <w:kern w:val="0"/>
          <w:sz w:val="32"/>
          <w:szCs w:val="32"/>
        </w:rPr>
        <w:t>。</w:t>
      </w:r>
    </w:p>
    <w:p>
      <w:pPr>
        <w:widowControl/>
        <w:ind w:firstLine="620" w:firstLineChars="200"/>
        <w:jc w:val="left"/>
        <w:rPr>
          <w:rFonts w:ascii="仿宋_GB2312" w:hAnsi="宋体" w:eastAsia="仿宋_GB2312" w:cs="仿宋_GB2312"/>
          <w:color w:val="000000"/>
          <w:kern w:val="0"/>
          <w:sz w:val="32"/>
          <w:szCs w:val="32"/>
        </w:rPr>
      </w:pPr>
      <w:r>
        <w:rPr>
          <w:rFonts w:ascii="仿宋_GB2312" w:hAnsi="仿宋_GB2312" w:eastAsia="仿宋_GB2312" w:cs="仿宋_GB2312"/>
          <w:color w:val="000000"/>
          <w:kern w:val="0"/>
          <w:sz w:val="31"/>
          <w:szCs w:val="31"/>
        </w:rPr>
        <w:t>2019年机关运行经费</w:t>
      </w:r>
      <w:r>
        <w:rPr>
          <w:rFonts w:ascii="仿宋_GB2312" w:hAnsi="宋体" w:eastAsia="仿宋_GB2312" w:cs="仿宋_GB2312"/>
          <w:color w:val="000000"/>
          <w:kern w:val="0"/>
          <w:sz w:val="32"/>
          <w:szCs w:val="32"/>
        </w:rPr>
        <w:t>预算为</w:t>
      </w:r>
      <w:r>
        <w:rPr>
          <w:rFonts w:hint="eastAsia" w:ascii="仿宋_GB2312" w:hAnsi="宋体" w:eastAsia="仿宋_GB2312" w:cs="仿宋_GB2312"/>
          <w:color w:val="000000"/>
          <w:kern w:val="0"/>
          <w:sz w:val="32"/>
          <w:szCs w:val="32"/>
        </w:rPr>
        <w:t>11.747196</w:t>
      </w:r>
      <w:r>
        <w:rPr>
          <w:rFonts w:ascii="仿宋_GB2312" w:hAnsi="宋体" w:eastAsia="仿宋_GB2312" w:cs="仿宋_GB2312"/>
          <w:color w:val="000000"/>
          <w:kern w:val="0"/>
          <w:sz w:val="32"/>
          <w:szCs w:val="32"/>
        </w:rPr>
        <w:t>万元，支出决算为</w:t>
      </w:r>
      <w:r>
        <w:rPr>
          <w:rFonts w:hint="eastAsia" w:ascii="仿宋_GB2312" w:hAnsi="宋体" w:eastAsia="仿宋_GB2312" w:cs="仿宋_GB2312"/>
          <w:color w:val="000000"/>
          <w:kern w:val="0"/>
          <w:sz w:val="32"/>
          <w:szCs w:val="32"/>
        </w:rPr>
        <w:t>11.747196</w:t>
      </w:r>
      <w:r>
        <w:rPr>
          <w:rFonts w:ascii="仿宋_GB2312" w:hAnsi="宋体" w:eastAsia="仿宋_GB2312" w:cs="仿宋_GB2312"/>
          <w:color w:val="000000"/>
          <w:kern w:val="0"/>
          <w:sz w:val="32"/>
          <w:szCs w:val="32"/>
        </w:rPr>
        <w:t>万元，完成预算的</w:t>
      </w:r>
      <w:r>
        <w:rPr>
          <w:rFonts w:hint="eastAsia" w:ascii="仿宋_GB2312" w:hAnsi="宋体" w:eastAsia="仿宋_GB2312" w:cs="仿宋_GB2312"/>
          <w:color w:val="000000"/>
          <w:kern w:val="0"/>
          <w:sz w:val="32"/>
          <w:szCs w:val="32"/>
          <w:lang w:val="en-US" w:eastAsia="zh-CN"/>
        </w:rPr>
        <w:t>100</w:t>
      </w:r>
      <w:r>
        <w:rPr>
          <w:rFonts w:ascii="仿宋_GB2312" w:hAnsi="宋体" w:eastAsia="仿宋_GB2312" w:cs="仿宋_GB2312"/>
          <w:color w:val="000000"/>
          <w:kern w:val="0"/>
          <w:sz w:val="32"/>
          <w:szCs w:val="32"/>
        </w:rPr>
        <w:t>%。决算数</w:t>
      </w:r>
      <w:r>
        <w:rPr>
          <w:rFonts w:hint="eastAsia" w:ascii="仿宋_GB2312" w:hAnsi="宋体" w:eastAsia="仿宋_GB2312" w:cs="仿宋_GB2312"/>
          <w:color w:val="000000"/>
          <w:kern w:val="0"/>
          <w:sz w:val="32"/>
          <w:szCs w:val="32"/>
        </w:rPr>
        <w:t>较</w:t>
      </w:r>
      <w:r>
        <w:rPr>
          <w:rFonts w:ascii="仿宋_GB2312" w:hAnsi="宋体" w:eastAsia="仿宋_GB2312" w:cs="仿宋_GB2312"/>
          <w:color w:val="000000"/>
          <w:kern w:val="0"/>
          <w:sz w:val="32"/>
          <w:szCs w:val="32"/>
        </w:rPr>
        <w:t>预算数</w:t>
      </w:r>
      <w:r>
        <w:rPr>
          <w:rFonts w:hint="eastAsia" w:ascii="仿宋_GB2312" w:hAnsi="宋体" w:eastAsia="仿宋_GB2312" w:cs="仿宋_GB2312"/>
          <w:color w:val="000000"/>
          <w:kern w:val="0"/>
          <w:sz w:val="32"/>
          <w:szCs w:val="32"/>
          <w:lang w:eastAsia="zh-CN"/>
        </w:rPr>
        <w:t>持平</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主要原因是</w:t>
      </w:r>
      <w:r>
        <w:rPr>
          <w:rFonts w:hint="eastAsia" w:ascii="仿宋_GB2312" w:hAnsi="宋体" w:eastAsia="仿宋_GB2312" w:cs="仿宋_GB2312"/>
          <w:color w:val="000000"/>
          <w:kern w:val="0"/>
          <w:sz w:val="32"/>
          <w:szCs w:val="32"/>
          <w:lang w:eastAsia="zh-CN"/>
        </w:rPr>
        <w:t>年中调整预算</w:t>
      </w:r>
      <w:r>
        <w:rPr>
          <w:rFonts w:hint="eastAsia" w:ascii="仿宋_GB2312" w:hAnsi="宋体" w:eastAsia="仿宋_GB2312" w:cs="仿宋_GB2312"/>
          <w:color w:val="000000"/>
          <w:kern w:val="0"/>
          <w:sz w:val="32"/>
          <w:szCs w:val="32"/>
        </w:rPr>
        <w:t>。</w:t>
      </w:r>
    </w:p>
    <w:p>
      <w:pPr>
        <w:widowControl/>
        <w:ind w:firstLine="642" w:firstLine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（二）政府采购支出情况说明。</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2019年本部门政府采购支出总额共188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3437万元，其中政府采购货物类支出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万元、政府采购服务类支出</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万元、政府采购工程类支出140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3437万元。</w:t>
      </w:r>
      <w:r>
        <w:rPr>
          <w:rFonts w:ascii="仿宋_GB2312" w:hAnsi="宋体" w:eastAsia="仿宋_GB2312" w:cs="仿宋_GB2312"/>
          <w:color w:val="000000"/>
          <w:kern w:val="0"/>
          <w:sz w:val="32"/>
          <w:szCs w:val="32"/>
        </w:rPr>
        <w:t>授予中小企业合同金额</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万元，占政府采购支出总额的</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%，其中：授予小微企业合同金额</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万元，占政府采购支出总额的</w:t>
      </w:r>
      <w:r>
        <w:rPr>
          <w:rFonts w:hint="eastAsia" w:ascii="仿宋_GB2312" w:hAnsi="宋体" w:eastAsia="仿宋_GB2312" w:cs="仿宋_GB2312"/>
          <w:color w:val="000000"/>
          <w:kern w:val="0"/>
          <w:sz w:val="32"/>
          <w:szCs w:val="32"/>
          <w:lang w:val="en-US" w:eastAsia="zh-CN"/>
        </w:rPr>
        <w:t>0</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p>
    <w:p>
      <w:pPr>
        <w:widowControl/>
        <w:ind w:firstLine="642" w:firstLineChars="200"/>
        <w:jc w:val="left"/>
        <w:rPr>
          <w:rFonts w:ascii="楷体_GB2312" w:hAnsi="宋体" w:eastAsia="楷体_GB2312" w:cs="楷体_GB2312"/>
          <w:b/>
          <w:color w:val="000000"/>
          <w:kern w:val="0"/>
          <w:sz w:val="32"/>
          <w:szCs w:val="32"/>
        </w:rPr>
      </w:pPr>
      <w:r>
        <w:rPr>
          <w:rFonts w:hint="eastAsia" w:ascii="楷体_GB2312" w:hAnsi="宋体" w:eastAsia="楷体_GB2312" w:cs="楷体_GB2312"/>
          <w:b/>
          <w:color w:val="000000"/>
          <w:kern w:val="0"/>
          <w:sz w:val="32"/>
          <w:szCs w:val="32"/>
        </w:rPr>
        <w:t>（三）国有资产占用及购置情况说明。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截至2019年末，本部门机关及所属单位共有车辆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widowControl/>
        <w:jc w:val="left"/>
        <w:rPr>
          <w:rFonts w:ascii="黑体" w:hAnsi="宋体" w:eastAsia="黑体"/>
          <w:color w:val="000000"/>
          <w:kern w:val="0"/>
          <w:sz w:val="32"/>
          <w:szCs w:val="32"/>
        </w:rPr>
      </w:pPr>
    </w:p>
    <w:p>
      <w:pPr>
        <w:widowControl/>
        <w:jc w:val="left"/>
        <w:rPr>
          <w:rFonts w:ascii="黑体" w:hAnsi="宋体" w:eastAsia="黑体"/>
          <w:color w:val="000000"/>
          <w:kern w:val="0"/>
          <w:sz w:val="32"/>
          <w:szCs w:val="32"/>
        </w:rPr>
      </w:pPr>
    </w:p>
    <w:p>
      <w:pPr>
        <w:widowControl/>
        <w:jc w:val="left"/>
        <w:rPr>
          <w:rFonts w:ascii="黑体" w:hAnsi="宋体" w:eastAsia="黑体"/>
          <w:color w:val="000000"/>
          <w:kern w:val="0"/>
          <w:sz w:val="32"/>
          <w:szCs w:val="32"/>
        </w:rPr>
      </w:pPr>
    </w:p>
    <w:p>
      <w:pPr>
        <w:jc w:val="center"/>
        <w:rPr>
          <w:sz w:val="44"/>
          <w:szCs w:val="44"/>
        </w:rPr>
      </w:pPr>
      <w:r>
        <w:rPr>
          <w:rFonts w:hint="eastAsia" w:ascii="黑体" w:hAnsi="宋体" w:eastAsia="黑体"/>
          <w:color w:val="000000"/>
          <w:kern w:val="0"/>
          <w:sz w:val="44"/>
          <w:szCs w:val="44"/>
        </w:rPr>
        <w:t>第四部分 专业名词解释</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rPr>
          <w:rFonts w:ascii="黑体" w:hAnsi="宋体" w:eastAsia="黑体"/>
          <w:color w:val="000000"/>
          <w:kern w:val="0"/>
          <w:sz w:val="44"/>
          <w:szCs w:val="44"/>
        </w:rPr>
      </w:pPr>
    </w:p>
    <w:p>
      <w:pPr>
        <w:jc w:val="center"/>
        <w:rPr>
          <w:rFonts w:ascii="黑体" w:hAnsi="宋体" w:eastAsia="黑体"/>
          <w:color w:val="000000"/>
          <w:kern w:val="0"/>
          <w:sz w:val="44"/>
          <w:szCs w:val="44"/>
        </w:rPr>
      </w:pPr>
    </w:p>
    <w:p>
      <w:pPr>
        <w:jc w:val="center"/>
        <w:rPr>
          <w:rFonts w:ascii="黑体" w:hAnsi="宋体" w:eastAsia="黑体"/>
          <w:color w:val="000000"/>
          <w:kern w:val="0"/>
          <w:sz w:val="44"/>
          <w:szCs w:val="44"/>
        </w:rPr>
      </w:pPr>
    </w:p>
    <w:p>
      <w:pPr>
        <w:rPr>
          <w:rFonts w:ascii="黑体" w:hAnsi="宋体" w:eastAsia="黑体"/>
          <w:color w:val="000000"/>
          <w:kern w:val="0"/>
          <w:sz w:val="44"/>
          <w:szCs w:val="44"/>
        </w:rPr>
      </w:pPr>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HorizontalSpacing w:val="105"/>
  <w:drawingGridVerticalSpacing w:val="315"/>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A6038"/>
    <w:rsid w:val="00050E89"/>
    <w:rsid w:val="0007717B"/>
    <w:rsid w:val="00146787"/>
    <w:rsid w:val="00164001"/>
    <w:rsid w:val="001D7568"/>
    <w:rsid w:val="002424C8"/>
    <w:rsid w:val="002A7893"/>
    <w:rsid w:val="003364E9"/>
    <w:rsid w:val="00452E2E"/>
    <w:rsid w:val="004B6D6E"/>
    <w:rsid w:val="00645631"/>
    <w:rsid w:val="00712CE7"/>
    <w:rsid w:val="00813F4A"/>
    <w:rsid w:val="00824FE8"/>
    <w:rsid w:val="009236FC"/>
    <w:rsid w:val="00927FF8"/>
    <w:rsid w:val="00A23599"/>
    <w:rsid w:val="00B80654"/>
    <w:rsid w:val="00B95021"/>
    <w:rsid w:val="00E8111E"/>
    <w:rsid w:val="00EA44A9"/>
    <w:rsid w:val="013B79AC"/>
    <w:rsid w:val="01B0327D"/>
    <w:rsid w:val="04240F48"/>
    <w:rsid w:val="05B16BE6"/>
    <w:rsid w:val="0BEC67DA"/>
    <w:rsid w:val="0E0D2D22"/>
    <w:rsid w:val="11F03755"/>
    <w:rsid w:val="125E2600"/>
    <w:rsid w:val="12E0345B"/>
    <w:rsid w:val="132E46A0"/>
    <w:rsid w:val="14411117"/>
    <w:rsid w:val="1586116E"/>
    <w:rsid w:val="17BC59BC"/>
    <w:rsid w:val="18AC5505"/>
    <w:rsid w:val="18BB4AD7"/>
    <w:rsid w:val="1B4A3FDA"/>
    <w:rsid w:val="1B524C98"/>
    <w:rsid w:val="1C5E2F73"/>
    <w:rsid w:val="1D6E0C0D"/>
    <w:rsid w:val="1DA5251C"/>
    <w:rsid w:val="1E4F15D9"/>
    <w:rsid w:val="1EF13AE0"/>
    <w:rsid w:val="202C0BD9"/>
    <w:rsid w:val="221C15BB"/>
    <w:rsid w:val="231D7041"/>
    <w:rsid w:val="2415360E"/>
    <w:rsid w:val="25342D4C"/>
    <w:rsid w:val="27110F90"/>
    <w:rsid w:val="28232EF0"/>
    <w:rsid w:val="29785A6B"/>
    <w:rsid w:val="2AD11C0C"/>
    <w:rsid w:val="2AFD7292"/>
    <w:rsid w:val="2D1F3974"/>
    <w:rsid w:val="2DB52EF2"/>
    <w:rsid w:val="2EFB22AA"/>
    <w:rsid w:val="310E53F8"/>
    <w:rsid w:val="31AA6038"/>
    <w:rsid w:val="33887EE3"/>
    <w:rsid w:val="33F211CD"/>
    <w:rsid w:val="34677C61"/>
    <w:rsid w:val="35331CD6"/>
    <w:rsid w:val="36BB5674"/>
    <w:rsid w:val="37D859C1"/>
    <w:rsid w:val="380C5E4C"/>
    <w:rsid w:val="381F277B"/>
    <w:rsid w:val="3B121AD1"/>
    <w:rsid w:val="3CFD0D2E"/>
    <w:rsid w:val="41603979"/>
    <w:rsid w:val="418739FF"/>
    <w:rsid w:val="41CF436B"/>
    <w:rsid w:val="43BA4AF5"/>
    <w:rsid w:val="44ED4018"/>
    <w:rsid w:val="4619368A"/>
    <w:rsid w:val="472D1A3F"/>
    <w:rsid w:val="4B261141"/>
    <w:rsid w:val="4CCD3712"/>
    <w:rsid w:val="4D293282"/>
    <w:rsid w:val="4D6E0FDF"/>
    <w:rsid w:val="4EE4307A"/>
    <w:rsid w:val="5086221E"/>
    <w:rsid w:val="51194BE5"/>
    <w:rsid w:val="5153143F"/>
    <w:rsid w:val="5340035F"/>
    <w:rsid w:val="54F12DEE"/>
    <w:rsid w:val="55171EAF"/>
    <w:rsid w:val="56417921"/>
    <w:rsid w:val="58E937E3"/>
    <w:rsid w:val="5A115B14"/>
    <w:rsid w:val="5ADF0933"/>
    <w:rsid w:val="5B8D564A"/>
    <w:rsid w:val="5FE7583D"/>
    <w:rsid w:val="62B971CD"/>
    <w:rsid w:val="6352114E"/>
    <w:rsid w:val="65074FBA"/>
    <w:rsid w:val="66A754F2"/>
    <w:rsid w:val="68BC7B17"/>
    <w:rsid w:val="68C705CA"/>
    <w:rsid w:val="6A897FE8"/>
    <w:rsid w:val="6B050C26"/>
    <w:rsid w:val="6B22055D"/>
    <w:rsid w:val="6EA6091F"/>
    <w:rsid w:val="6F410315"/>
    <w:rsid w:val="6FE00163"/>
    <w:rsid w:val="71086DB5"/>
    <w:rsid w:val="71D567EB"/>
    <w:rsid w:val="75C31473"/>
    <w:rsid w:val="77B76BF1"/>
    <w:rsid w:val="7A1C0F15"/>
    <w:rsid w:val="7C3E5E46"/>
    <w:rsid w:val="7E1C4BB2"/>
    <w:rsid w:val="7E2F70DD"/>
    <w:rsid w:val="7E3E4712"/>
    <w:rsid w:val="7E5B1131"/>
    <w:rsid w:val="7EE759C2"/>
    <w:rsid w:val="AF9CA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2"/>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character" w:customStyle="1" w:styleId="11">
    <w:name w:val="批注文字 Char"/>
    <w:basedOn w:val="9"/>
    <w:link w:val="2"/>
    <w:qFormat/>
    <w:uiPriority w:val="0"/>
    <w:rPr>
      <w:rFonts w:ascii="Calibri" w:hAnsi="Calibri" w:cs="黑体"/>
      <w:kern w:val="2"/>
      <w:sz w:val="21"/>
      <w:szCs w:val="24"/>
    </w:rPr>
  </w:style>
  <w:style w:type="character" w:customStyle="1" w:styleId="12">
    <w:name w:val="批注主题 Char"/>
    <w:basedOn w:val="11"/>
    <w:link w:val="6"/>
    <w:qFormat/>
    <w:uiPriority w:val="0"/>
    <w:rPr>
      <w:rFonts w:ascii="Calibri" w:hAnsi="Calibri" w:cs="黑体"/>
      <w:b/>
      <w:bCs/>
      <w:kern w:val="2"/>
      <w:sz w:val="21"/>
      <w:szCs w:val="24"/>
    </w:rPr>
  </w:style>
  <w:style w:type="character" w:customStyle="1" w:styleId="13">
    <w:name w:val="批注框文本 Char"/>
    <w:basedOn w:val="9"/>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emf"/><Relationship Id="rId17" Type="http://schemas.openxmlformats.org/officeDocument/2006/relationships/oleObject" Target="embeddings/oleObject4.bin"/><Relationship Id="rId16" Type="http://schemas.openxmlformats.org/officeDocument/2006/relationships/image" Target="media/image4.emf"/><Relationship Id="rId15" Type="http://schemas.openxmlformats.org/officeDocument/2006/relationships/oleObject" Target="embeddings/oleObject3.bin"/><Relationship Id="rId14" Type="http://schemas.openxmlformats.org/officeDocument/2006/relationships/image" Target="media/image3.emf"/><Relationship Id="rId13" Type="http://schemas.openxmlformats.org/officeDocument/2006/relationships/oleObject" Target="embeddings/oleObject2.bin"/><Relationship Id="rId12" Type="http://schemas.openxmlformats.org/officeDocument/2006/relationships/image" Target="media/image2.e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'[新建 XLS 工作表.xls]Sheet1'!$B$1:$D$1</c:f>
              <c:strCache>
                <c:ptCount val="3"/>
                <c:pt idx="0">
                  <c:v>行政</c:v>
                </c:pt>
                <c:pt idx="1">
                  <c:v>事业</c:v>
                </c:pt>
                <c:pt idx="2">
                  <c:v>空编</c:v>
                </c:pt>
              </c:strCache>
            </c:strRef>
          </c:cat>
          <c:val>
            <c:numRef>
              <c:f>'[新建 XLS 工作表.xls]Sheet1'!$B$2:$D$2</c:f>
              <c:numCache>
                <c:formatCode>General</c:formatCode>
                <c:ptCount val="3"/>
                <c:pt idx="0">
                  <c:v>4</c:v>
                </c:pt>
                <c:pt idx="1">
                  <c:v>5</c:v>
                </c:pt>
                <c:pt idx="2">
                  <c:v>19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收入决算对比图（单位：元）</a:t>
            </a:r>
          </a:p>
        </c:rich>
      </c:tx>
      <c:layout/>
      <c:overlay val="false"/>
      <c:spPr>
        <a:noFill/>
        <a:ln>
          <a:noFill/>
        </a:ln>
        <a:effectLst/>
      </c:spPr>
    </c:title>
    <c:autoTitleDeleted val="false"/>
    <c:plotArea>
      <c:layout/>
      <c:barChart>
        <c:barDir val="col"/>
        <c:grouping val="stacked"/>
        <c:varyColors val="false"/>
        <c:ser>
          <c:idx val="0"/>
          <c:order val="0"/>
          <c:spPr>
            <a:solidFill>
              <a:schemeClr val="accent1"/>
            </a:solidFill>
            <a:ln>
              <a:noFill/>
            </a:ln>
            <a:effectLst/>
          </c:spPr>
          <c:invertIfNegative val="false"/>
          <c:dLbls>
            <c:delete val="true"/>
          </c:dLbls>
          <c:cat>
            <c:strRef>
              <c:f>'[新建 XLS 工作表.xls]Sheet1'!$F$2:$F$4</c:f>
              <c:strCache>
                <c:ptCount val="3"/>
                <c:pt idx="0">
                  <c:v>2018年度</c:v>
                </c:pt>
                <c:pt idx="1">
                  <c:v>2019年度</c:v>
                </c:pt>
                <c:pt idx="2">
                  <c:v>增加</c:v>
                </c:pt>
              </c:strCache>
            </c:strRef>
          </c:cat>
          <c:val>
            <c:numRef>
              <c:f>'[新建 XLS 工作表.xls]Sheet1'!$G$2:$G$4</c:f>
              <c:numCache>
                <c:formatCode>#,##0.00_ </c:formatCode>
                <c:ptCount val="3"/>
                <c:pt idx="0">
                  <c:v>1323730468.99</c:v>
                </c:pt>
                <c:pt idx="1">
                  <c:v>1328943968.99</c:v>
                </c:pt>
                <c:pt idx="2">
                  <c:v>5213500</c:v>
                </c:pt>
              </c:numCache>
            </c:numRef>
          </c:val>
        </c:ser>
        <c:dLbls>
          <c:showLegendKey val="false"/>
          <c:showVal val="false"/>
          <c:showCatName val="false"/>
          <c:showSerName val="false"/>
          <c:showPercent val="false"/>
          <c:showBubbleSize val="false"/>
        </c:dLbls>
        <c:gapWidth val="150"/>
        <c:overlap val="100"/>
        <c:axId val="409112814"/>
        <c:axId val="496096360"/>
      </c:barChart>
      <c:catAx>
        <c:axId val="40911281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96096360"/>
        <c:crosses val="autoZero"/>
        <c:auto val="true"/>
        <c:lblAlgn val="ctr"/>
        <c:lblOffset val="100"/>
        <c:noMultiLvlLbl val="false"/>
      </c:catAx>
      <c:valAx>
        <c:axId val="496096360"/>
        <c:scaling>
          <c:orientation val="minMax"/>
        </c:scaling>
        <c:delete val="false"/>
        <c:axPos val="l"/>
        <c:majorGridlines>
          <c:spPr>
            <a:ln w="9525" cap="flat" cmpd="sng" algn="ctr">
              <a:solidFill>
                <a:schemeClr val="tx1">
                  <a:lumMod val="15000"/>
                  <a:lumOff val="85000"/>
                </a:schemeClr>
              </a:solidFill>
              <a:round/>
            </a:ln>
            <a:effectLst/>
          </c:spPr>
        </c:majorGridlines>
        <c:numFmt formatCode="#,##0.00_ "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0911281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支出决算对比图（单位：元）</a:t>
            </a:r>
          </a:p>
        </c:rich>
      </c:tx>
      <c:layout/>
      <c:overlay val="false"/>
      <c:spPr>
        <a:noFill/>
        <a:ln>
          <a:noFill/>
        </a:ln>
        <a:effectLst/>
      </c:spPr>
    </c:title>
    <c:autoTitleDeleted val="false"/>
    <c:plotArea>
      <c:layout/>
      <c:barChart>
        <c:barDir val="col"/>
        <c:grouping val="stacked"/>
        <c:varyColors val="false"/>
        <c:ser>
          <c:idx val="0"/>
          <c:order val="0"/>
          <c:spPr>
            <a:solidFill>
              <a:schemeClr val="accent1"/>
            </a:solidFill>
            <a:ln>
              <a:noFill/>
            </a:ln>
            <a:effectLst/>
          </c:spPr>
          <c:invertIfNegative val="false"/>
          <c:dLbls>
            <c:delete val="true"/>
          </c:dLbls>
          <c:cat>
            <c:strRef>
              <c:f>'[新建 XLS 工作表.xls]Sheet1'!$F$2:$F$4</c:f>
              <c:strCache>
                <c:ptCount val="3"/>
                <c:pt idx="0">
                  <c:v>2018年度</c:v>
                </c:pt>
                <c:pt idx="1">
                  <c:v>2019年度</c:v>
                </c:pt>
                <c:pt idx="2">
                  <c:v>增加</c:v>
                </c:pt>
              </c:strCache>
            </c:strRef>
          </c:cat>
          <c:val>
            <c:numRef>
              <c:f>'[新建 XLS 工作表.xls]Sheet1'!$G$2:$G$4</c:f>
              <c:numCache>
                <c:formatCode>#,##0.00_ </c:formatCode>
                <c:ptCount val="3"/>
                <c:pt idx="0">
                  <c:v>4399800</c:v>
                </c:pt>
                <c:pt idx="1">
                  <c:v>1324567572.91</c:v>
                </c:pt>
                <c:pt idx="2">
                  <c:v>1320167772.91</c:v>
                </c:pt>
              </c:numCache>
            </c:numRef>
          </c:val>
        </c:ser>
        <c:dLbls>
          <c:showLegendKey val="false"/>
          <c:showVal val="false"/>
          <c:showCatName val="false"/>
          <c:showSerName val="false"/>
          <c:showPercent val="false"/>
          <c:showBubbleSize val="false"/>
        </c:dLbls>
        <c:gapWidth val="150"/>
        <c:overlap val="100"/>
        <c:axId val="409112814"/>
        <c:axId val="496096360"/>
      </c:barChart>
      <c:catAx>
        <c:axId val="40911281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96096360"/>
        <c:crosses val="autoZero"/>
        <c:auto val="true"/>
        <c:lblAlgn val="ctr"/>
        <c:lblOffset val="100"/>
        <c:noMultiLvlLbl val="false"/>
      </c:catAx>
      <c:valAx>
        <c:axId val="496096360"/>
        <c:scaling>
          <c:orientation val="minMax"/>
        </c:scaling>
        <c:delete val="false"/>
        <c:axPos val="l"/>
        <c:majorGridlines>
          <c:spPr>
            <a:ln w="9525" cap="flat" cmpd="sng" algn="ctr">
              <a:solidFill>
                <a:schemeClr val="tx1">
                  <a:lumMod val="15000"/>
                  <a:lumOff val="85000"/>
                </a:schemeClr>
              </a:solidFill>
              <a:round/>
            </a:ln>
            <a:effectLst/>
          </c:spPr>
        </c:majorGridlines>
        <c:numFmt formatCode="#,##0.00_ "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0911281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'[新建 XLS 工作表.xls]Sheet1'!$F$36:$F$38</c:f>
              <c:strCache>
                <c:ptCount val="3"/>
                <c:pt idx="0">
                  <c:v>财政拨款收入</c:v>
                </c:pt>
                <c:pt idx="1">
                  <c:v>公共预算财政拨款收入</c:v>
                </c:pt>
                <c:pt idx="2">
                  <c:v>其他收入</c:v>
                </c:pt>
              </c:strCache>
            </c:strRef>
          </c:cat>
          <c:val>
            <c:numRef>
              <c:f>'[新建 XLS 工作表.xls]Sheet1'!$G$36:$G$38</c:f>
              <c:numCache>
                <c:formatCode>0.00%</c:formatCode>
                <c:ptCount val="3"/>
                <c:pt idx="0">
                  <c:v>0.996</c:v>
                </c:pt>
                <c:pt idx="1">
                  <c:v>0.00031</c:v>
                </c:pt>
                <c:pt idx="2">
                  <c:v>9e-5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'[新建 XLS 工作表.xls]Sheet1'!$F$36:$F$37</c:f>
              <c:strCache>
                <c:ptCount val="2"/>
                <c:pt idx="0">
                  <c:v>基本支出</c:v>
                </c:pt>
                <c:pt idx="1">
                  <c:v>项目支出</c:v>
                </c:pt>
              </c:strCache>
            </c:strRef>
          </c:cat>
          <c:val>
            <c:numRef>
              <c:f>'[新建 XLS 工作表.xls]Sheet1'!$G$36:$G$37</c:f>
              <c:numCache>
                <c:formatCode>0.00%</c:formatCode>
                <c:ptCount val="2"/>
                <c:pt idx="0">
                  <c:v>1.7e-5</c:v>
                </c:pt>
                <c:pt idx="1">
                  <c:v>0.9983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财政拨款支出对比图（单位：元）</a:t>
            </a:r>
          </a:p>
        </c:rich>
      </c:tx>
      <c:layout/>
      <c:overlay val="false"/>
      <c:spPr>
        <a:noFill/>
        <a:ln>
          <a:noFill/>
        </a:ln>
        <a:effectLst/>
      </c:spPr>
    </c:title>
    <c:autoTitleDeleted val="false"/>
    <c:plotArea>
      <c:layout/>
      <c:barChart>
        <c:barDir val="col"/>
        <c:grouping val="stacked"/>
        <c:varyColors val="false"/>
        <c:ser>
          <c:idx val="0"/>
          <c:order val="0"/>
          <c:spPr>
            <a:solidFill>
              <a:schemeClr val="accent1"/>
            </a:solidFill>
            <a:ln>
              <a:noFill/>
            </a:ln>
            <a:effectLst/>
          </c:spPr>
          <c:invertIfNegative val="false"/>
          <c:dLbls>
            <c:delete val="true"/>
          </c:dLbls>
          <c:cat>
            <c:strRef>
              <c:f>'[新建 XLS 工作表.xls]Sheet1'!$F$62:$F$63</c:f>
              <c:strCache>
                <c:ptCount val="2"/>
                <c:pt idx="0">
                  <c:v>2019年度</c:v>
                </c:pt>
                <c:pt idx="1">
                  <c:v>2018年度</c:v>
                </c:pt>
              </c:strCache>
            </c:strRef>
          </c:cat>
          <c:val>
            <c:numRef>
              <c:f>'[新建 XLS 工作表.xls]Sheet1'!$G$62:$G$63</c:f>
              <c:numCache>
                <c:formatCode>#,##0.00_ </c:formatCode>
                <c:ptCount val="2"/>
                <c:pt idx="0">
                  <c:v>1328616261.57</c:v>
                </c:pt>
                <c:pt idx="1">
                  <c:v>521350</c:v>
                </c:pt>
              </c:numCache>
            </c:numRef>
          </c:val>
        </c:ser>
        <c:dLbls>
          <c:showLegendKey val="false"/>
          <c:showVal val="false"/>
          <c:showCatName val="false"/>
          <c:showSerName val="false"/>
          <c:showPercent val="false"/>
          <c:showBubbleSize val="false"/>
        </c:dLbls>
        <c:gapWidth val="150"/>
        <c:overlap val="100"/>
        <c:axId val="437931848"/>
        <c:axId val="16504546"/>
      </c:barChart>
      <c:catAx>
        <c:axId val="43793184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6504546"/>
        <c:crosses val="autoZero"/>
        <c:auto val="true"/>
        <c:lblAlgn val="ctr"/>
        <c:lblOffset val="100"/>
        <c:noMultiLvlLbl val="false"/>
      </c:catAx>
      <c:valAx>
        <c:axId val="16504546"/>
        <c:scaling>
          <c:orientation val="minMax"/>
        </c:scaling>
        <c:delete val="false"/>
        <c:axPos val="l"/>
        <c:majorGridlines>
          <c:spPr>
            <a:ln w="9525" cap="flat" cmpd="sng" algn="ctr">
              <a:solidFill>
                <a:schemeClr val="tx1">
                  <a:lumMod val="15000"/>
                  <a:lumOff val="85000"/>
                </a:schemeClr>
              </a:solidFill>
              <a:round/>
            </a:ln>
            <a:effectLst/>
          </c:spPr>
        </c:majorGridlines>
        <c:numFmt formatCode="#,##0.00_ "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3793184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1711</Words>
  <Characters>9754</Characters>
  <Lines>81</Lines>
  <Paragraphs>22</Paragraphs>
  <TotalTime>1</TotalTime>
  <ScaleCrop>false</ScaleCrop>
  <LinksUpToDate>false</LinksUpToDate>
  <CharactersWithSpaces>11443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2020-07-23T17:23:00Z</dcterms:created>
  <dc:creator>Administrator</dc:creator>
  <cp:lastModifiedBy>YLAKuser</cp:lastModifiedBy>
  <cp:lastPrinted>2020-07-28T10:12:00Z</cp:lastPrinted>
  <dcterms:modified xsi:type="dcterms:W3CDTF">2024-04-03T16:28:50Z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2751016B13AE4683B2CF67207E43D305</vt:lpwstr>
  </property>
</Properties>
</file>