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40" w:firstLineChars="100"/>
        <w:jc w:val="center"/>
        <w:textAlignment w:val="auto"/>
        <w:rPr>
          <w:rFonts w:hint="eastAsia" w:ascii="BatangChe" w:hAnsi="BatangChe" w:eastAsia="方正小标宋简体" w:cs="宋体"/>
          <w:bCs/>
          <w:color w:val="000000" w:themeColor="text1"/>
          <w:sz w:val="44"/>
          <w:szCs w:val="44"/>
          <w:lang w:eastAsia="zh-CN"/>
          <w14:textFill>
            <w14:solidFill>
              <w14:schemeClr w14:val="tx1"/>
            </w14:solidFill>
          </w14:textFill>
        </w:rPr>
      </w:pPr>
      <w:bookmarkStart w:id="0" w:name="_GoBack"/>
      <w:r>
        <w:rPr>
          <w:rFonts w:hint="eastAsia" w:ascii="BatangChe" w:hAnsi="BatangChe" w:eastAsia="方正小标宋简体" w:cs="宋体"/>
          <w:bCs/>
          <w:color w:val="000000" w:themeColor="text1"/>
          <w:sz w:val="44"/>
          <w:szCs w:val="44"/>
          <w:lang w:eastAsia="zh-CN"/>
          <w14:textFill>
            <w14:solidFill>
              <w14:schemeClr w14:val="tx1"/>
            </w14:solidFill>
          </w14:textFill>
        </w:rPr>
        <w:t>杨凌示范区发展和改革局</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40" w:firstLineChars="100"/>
        <w:jc w:val="center"/>
        <w:textAlignment w:val="auto"/>
        <w:rPr>
          <w:rFonts w:hint="eastAsia" w:ascii="BatangChe" w:hAnsi="BatangChe" w:eastAsia="方正小标宋简体" w:cs="宋体"/>
          <w:bCs/>
          <w:color w:val="000000" w:themeColor="text1"/>
          <w:sz w:val="44"/>
          <w:szCs w:val="44"/>
          <w:lang w:eastAsia="zh-CN"/>
          <w14:textFill>
            <w14:solidFill>
              <w14:schemeClr w14:val="tx1"/>
            </w14:solidFill>
          </w14:textFill>
        </w:rPr>
      </w:pPr>
      <w:r>
        <w:rPr>
          <w:rFonts w:hint="eastAsia" w:ascii="BatangChe" w:hAnsi="BatangChe" w:eastAsia="方正小标宋简体" w:cs="宋体"/>
          <w:bCs/>
          <w:color w:val="000000" w:themeColor="text1"/>
          <w:sz w:val="44"/>
          <w:szCs w:val="44"/>
          <w:lang w:val="en-US" w:eastAsia="zh-CN"/>
          <w14:textFill>
            <w14:solidFill>
              <w14:schemeClr w14:val="tx1"/>
            </w14:solidFill>
          </w14:textFill>
        </w:rPr>
        <w:t>2023年</w:t>
      </w:r>
      <w:r>
        <w:rPr>
          <w:rFonts w:hint="eastAsia" w:ascii="BatangChe" w:hAnsi="BatangChe" w:eastAsia="方正小标宋简体" w:cs="宋体"/>
          <w:bCs/>
          <w:color w:val="000000" w:themeColor="text1"/>
          <w:sz w:val="44"/>
          <w:szCs w:val="44"/>
          <w:lang w:eastAsia="zh-CN"/>
          <w14:textFill>
            <w14:solidFill>
              <w14:schemeClr w14:val="tx1"/>
            </w14:solidFill>
          </w14:textFill>
        </w:rPr>
        <w:t>政府信息公开工作年度报告</w:t>
      </w:r>
    </w:p>
    <w:bookmarkEnd w:id="0"/>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本年报是</w:t>
      </w:r>
      <w:r>
        <w:rPr>
          <w:rFonts w:hint="eastAsia" w:ascii="Times New Roman" w:hAnsi="Times New Roman" w:eastAsia="仿宋_GB2312" w:cs="Times New Roman"/>
          <w:color w:val="000000"/>
          <w:sz w:val="32"/>
          <w:szCs w:val="32"/>
          <w:lang w:val="en-US" w:eastAsia="zh-CN"/>
        </w:rPr>
        <w:t>依据</w:t>
      </w:r>
      <w:r>
        <w:rPr>
          <w:rFonts w:ascii="Times New Roman" w:hAnsi="Times New Roman" w:eastAsia="仿宋_GB2312" w:cs="Times New Roman"/>
          <w:color w:val="000000"/>
          <w:sz w:val="32"/>
          <w:szCs w:val="32"/>
        </w:rPr>
        <w:t>《中华人民共和国政府信息公开条例》（国务院令第492号，以下简称条例）</w:t>
      </w:r>
      <w:r>
        <w:rPr>
          <w:rFonts w:hint="eastAsia" w:ascii="Times New Roman" w:hAnsi="Times New Roman" w:eastAsia="仿宋_GB2312" w:cs="Times New Roman"/>
          <w:color w:val="000000"/>
          <w:sz w:val="32"/>
          <w:szCs w:val="32"/>
        </w:rPr>
        <w:t>《国务院办公厅政府信息与政务公开办公室关于政府信息公开工作年度报告有关事项的通知》(国办公开办函〔2019〕60号）</w:t>
      </w:r>
      <w:r>
        <w:rPr>
          <w:rFonts w:ascii="Times New Roman" w:hAnsi="Times New Roman" w:eastAsia="仿宋_GB2312" w:cs="Times New Roman"/>
          <w:color w:val="000000"/>
          <w:sz w:val="32"/>
          <w:szCs w:val="32"/>
        </w:rPr>
        <w:t>《陕西省政府信息公开规定》要求，由</w:t>
      </w:r>
      <w:r>
        <w:rPr>
          <w:rFonts w:hint="eastAsia" w:ascii="Times New Roman" w:hAnsi="Times New Roman" w:eastAsia="仿宋_GB2312" w:cs="Times New Roman"/>
          <w:color w:val="000000"/>
          <w:sz w:val="32"/>
          <w:szCs w:val="32"/>
          <w:lang w:eastAsia="zh-CN"/>
        </w:rPr>
        <w:t>杨凌示范区发展和改革局</w:t>
      </w:r>
      <w:r>
        <w:rPr>
          <w:rFonts w:ascii="Times New Roman" w:hAnsi="Times New Roman" w:eastAsia="仿宋_GB2312" w:cs="Times New Roman"/>
          <w:color w:val="000000"/>
          <w:sz w:val="32"/>
          <w:szCs w:val="32"/>
        </w:rPr>
        <w:t>编制，现予以公布。报告由</w:t>
      </w:r>
      <w:r>
        <w:rPr>
          <w:rFonts w:hint="eastAsia" w:ascii="Times New Roman" w:hAnsi="Times New Roman" w:eastAsia="仿宋_GB2312" w:cs="Times New Roman"/>
          <w:color w:val="000000"/>
          <w:sz w:val="32"/>
          <w:szCs w:val="32"/>
        </w:rPr>
        <w:t>总体情况</w:t>
      </w:r>
      <w:r>
        <w:rPr>
          <w:rFonts w:ascii="Times New Roman" w:hAnsi="Times New Roman" w:eastAsia="仿宋_GB2312" w:cs="Times New Roman"/>
          <w:color w:val="000000"/>
          <w:sz w:val="32"/>
          <w:szCs w:val="32"/>
        </w:rPr>
        <w:t>、主动公开政府信息情况、收到和处理政府信息公开申请情况、政府信息公开行政复议、行政诉讼情况和存在的主要问题及改进情况共五部分组成</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本年报电子版可在</w:t>
      </w:r>
      <w:r>
        <w:rPr>
          <w:rFonts w:hint="eastAsia" w:ascii="Times New Roman" w:hAnsi="Times New Roman" w:eastAsia="仿宋_GB2312" w:cs="Times New Roman"/>
          <w:color w:val="000000"/>
          <w:sz w:val="32"/>
          <w:szCs w:val="32"/>
          <w:lang w:eastAsia="zh-CN"/>
        </w:rPr>
        <w:t>杨凌示范区发展和改革局</w:t>
      </w:r>
      <w:r>
        <w:rPr>
          <w:rFonts w:ascii="Times New Roman" w:hAnsi="Times New Roman" w:eastAsia="仿宋_GB2312" w:cs="Times New Roman"/>
          <w:color w:val="000000"/>
          <w:sz w:val="32"/>
          <w:szCs w:val="32"/>
        </w:rPr>
        <w:t>门户网站（</w:t>
      </w:r>
      <w:r>
        <w:rPr>
          <w:rFonts w:hint="eastAsia" w:ascii="Times New Roman" w:hAnsi="Times New Roman" w:eastAsia="仿宋_GB2312" w:cs="Times New Roman"/>
          <w:color w:val="000000"/>
          <w:sz w:val="32"/>
          <w:szCs w:val="32"/>
        </w:rPr>
        <w:t>https://fzggj.yangling.gov.cn/</w:t>
      </w:r>
      <w:r>
        <w:rPr>
          <w:rFonts w:ascii="Times New Roman" w:hAnsi="Times New Roman" w:eastAsia="仿宋_GB2312" w:cs="Times New Roman"/>
          <w:color w:val="000000"/>
          <w:sz w:val="32"/>
          <w:szCs w:val="32"/>
        </w:rPr>
        <w:t>）下载。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BatangChe" w:hAnsi="BatangChe" w:cs="宋体"/>
          <w:color w:val="000000" w:themeColor="text1"/>
          <w:szCs w:val="32"/>
          <w:lang w:eastAsia="zh-CN"/>
          <w14:textFill>
            <w14:solidFill>
              <w14:schemeClr w14:val="tx1"/>
            </w14:solidFill>
          </w14:textFill>
        </w:rPr>
      </w:pPr>
      <w:r>
        <w:rPr>
          <w:rFonts w:ascii="Times New Roman" w:hAnsi="Times New Roman" w:eastAsia="仿宋_GB2312" w:cs="Times New Roman"/>
          <w:color w:val="000000"/>
          <w:sz w:val="32"/>
          <w:szCs w:val="32"/>
        </w:rPr>
        <w:t>如有疑问，请联系</w:t>
      </w:r>
      <w:r>
        <w:rPr>
          <w:rFonts w:hint="eastAsia" w:ascii="Times New Roman" w:hAnsi="Times New Roman" w:eastAsia="仿宋_GB2312" w:cs="Times New Roman"/>
          <w:color w:val="000000"/>
          <w:sz w:val="32"/>
          <w:szCs w:val="32"/>
          <w:lang w:eastAsia="zh-CN"/>
        </w:rPr>
        <w:t>杨凌示范区发展和改革局</w:t>
      </w:r>
      <w:r>
        <w:rPr>
          <w:rFonts w:ascii="Times New Roman" w:hAnsi="Times New Roman" w:eastAsia="仿宋_GB2312" w:cs="Times New Roman"/>
          <w:color w:val="000000"/>
          <w:sz w:val="32"/>
          <w:szCs w:val="32"/>
        </w:rPr>
        <w:t>办公室（联系电话：029-</w:t>
      </w:r>
      <w:r>
        <w:rPr>
          <w:rFonts w:hint="eastAsia" w:ascii="Times New Roman" w:hAnsi="Times New Roman" w:eastAsia="仿宋_GB2312" w:cs="Times New Roman"/>
          <w:color w:val="000000"/>
          <w:sz w:val="32"/>
          <w:szCs w:val="32"/>
          <w:lang w:val="en-US" w:eastAsia="zh-CN"/>
        </w:rPr>
        <w:t>87036928</w:t>
      </w:r>
      <w:r>
        <w:rPr>
          <w:rFonts w:ascii="Times New Roman" w:hAnsi="Times New Roman" w:eastAsia="仿宋_GB2312" w:cs="Times New Roman"/>
          <w:color w:val="000000"/>
          <w:sz w:val="32"/>
          <w:szCs w:val="32"/>
        </w:rPr>
        <w:t>；传真：029-</w:t>
      </w:r>
      <w:r>
        <w:rPr>
          <w:rFonts w:hint="eastAsia" w:ascii="Times New Roman" w:hAnsi="Times New Roman" w:eastAsia="仿宋_GB2312" w:cs="Times New Roman"/>
          <w:color w:val="000000"/>
          <w:sz w:val="32"/>
          <w:szCs w:val="32"/>
          <w:lang w:val="en-US" w:eastAsia="zh-CN"/>
        </w:rPr>
        <w:t>87036926</w:t>
      </w:r>
      <w:r>
        <w:rPr>
          <w:rFonts w:ascii="Times New Roman" w:hAnsi="Times New Roman" w:eastAsia="仿宋_GB2312" w:cs="Times New Roman"/>
          <w:color w:val="000000"/>
          <w:sz w:val="32"/>
          <w:szCs w:val="32"/>
        </w:rPr>
        <w:t>；举报电话：029--</w:t>
      </w:r>
      <w:r>
        <w:rPr>
          <w:rFonts w:hint="eastAsia" w:ascii="Times New Roman" w:hAnsi="Times New Roman" w:eastAsia="仿宋_GB2312" w:cs="Times New Roman"/>
          <w:color w:val="000000"/>
          <w:sz w:val="32"/>
          <w:szCs w:val="32"/>
          <w:lang w:val="en-US" w:eastAsia="zh-CN"/>
        </w:rPr>
        <w:t>87036928</w:t>
      </w:r>
      <w:r>
        <w:rPr>
          <w:rFonts w:ascii="Times New Roman" w:hAnsi="Times New Roman" w:eastAsia="仿宋_GB2312" w:cs="Times New Roman"/>
          <w:color w:val="000000"/>
          <w:sz w:val="32"/>
          <w:szCs w:val="32"/>
        </w:rPr>
        <w:t>；地址：</w:t>
      </w:r>
      <w:r>
        <w:rPr>
          <w:rFonts w:hint="eastAsia" w:ascii="Times New Roman" w:hAnsi="Times New Roman" w:eastAsia="仿宋_GB2312" w:cs="Times New Roman"/>
          <w:color w:val="000000"/>
          <w:sz w:val="32"/>
          <w:szCs w:val="32"/>
          <w:lang w:eastAsia="zh-CN"/>
        </w:rPr>
        <w:t>杨凌示范区新桥路政务大厦</w:t>
      </w:r>
      <w:r>
        <w:rPr>
          <w:rFonts w:hint="eastAsia" w:ascii="Times New Roman" w:hAnsi="Times New Roman" w:eastAsia="仿宋_GB2312" w:cs="Times New Roman"/>
          <w:color w:val="000000"/>
          <w:sz w:val="32"/>
          <w:szCs w:val="32"/>
          <w:lang w:val="en-US" w:eastAsia="zh-CN"/>
        </w:rPr>
        <w:t>320室</w:t>
      </w:r>
      <w:r>
        <w:rPr>
          <w:rFonts w:ascii="Times New Roman" w:hAnsi="Times New Roman" w:eastAsia="仿宋_GB2312" w:cs="Times New Roman"/>
          <w:color w:val="000000"/>
          <w:sz w:val="32"/>
          <w:szCs w:val="32"/>
        </w:rPr>
        <w:t>）。</w:t>
      </w:r>
    </w:p>
    <w:p>
      <w:pPr>
        <w:shd w:val="clear" w:color="auto" w:fill="FFFFFF"/>
        <w:snapToGrid w:val="0"/>
        <w:spacing w:before="0" w:after="0" w:line="360" w:lineRule="auto"/>
        <w:ind w:firstLine="482"/>
        <w:rPr>
          <w:rFonts w:ascii="BatangChe" w:hAnsi="BatangChe" w:eastAsia="黑体" w:cs="宋体"/>
          <w:bCs/>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202</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年，在</w:t>
      </w:r>
      <w:r>
        <w:rPr>
          <w:rFonts w:hint="eastAsia" w:ascii="Times New Roman" w:hAnsi="Times New Roman" w:eastAsia="仿宋_GB2312" w:cs="Times New Roman"/>
          <w:color w:val="000000"/>
          <w:sz w:val="32"/>
          <w:szCs w:val="32"/>
          <w:lang w:eastAsia="zh-CN"/>
        </w:rPr>
        <w:t>示范区政务公开办的</w:t>
      </w:r>
      <w:r>
        <w:rPr>
          <w:rFonts w:ascii="Times New Roman" w:hAnsi="Times New Roman" w:eastAsia="仿宋_GB2312" w:cs="Times New Roman"/>
          <w:color w:val="000000"/>
          <w:sz w:val="32"/>
          <w:szCs w:val="32"/>
        </w:rPr>
        <w:t>指导下，</w:t>
      </w:r>
      <w:r>
        <w:rPr>
          <w:rFonts w:hint="eastAsia" w:ascii="Times New Roman" w:hAnsi="Times New Roman" w:eastAsia="仿宋_GB2312" w:cs="Times New Roman"/>
          <w:color w:val="000000"/>
          <w:sz w:val="32"/>
          <w:szCs w:val="32"/>
          <w:lang w:eastAsia="zh-CN"/>
        </w:rPr>
        <w:t>示范区</w:t>
      </w:r>
      <w:r>
        <w:rPr>
          <w:rFonts w:ascii="Times New Roman" w:hAnsi="Times New Roman" w:eastAsia="仿宋_GB2312" w:cs="Times New Roman"/>
          <w:color w:val="000000"/>
          <w:sz w:val="32"/>
          <w:szCs w:val="32"/>
        </w:rPr>
        <w:t>发改</w:t>
      </w:r>
      <w:r>
        <w:rPr>
          <w:rFonts w:hint="eastAsia" w:ascii="Times New Roman" w:hAnsi="Times New Roman" w:eastAsia="仿宋_GB2312" w:cs="Times New Roman"/>
          <w:color w:val="000000"/>
          <w:sz w:val="32"/>
          <w:szCs w:val="32"/>
          <w:lang w:eastAsia="zh-CN"/>
        </w:rPr>
        <w:t>局</w:t>
      </w:r>
      <w:r>
        <w:rPr>
          <w:rFonts w:ascii="Times New Roman" w:hAnsi="Times New Roman" w:eastAsia="仿宋_GB2312" w:cs="Times New Roman"/>
          <w:color w:val="000000"/>
          <w:sz w:val="32"/>
          <w:szCs w:val="32"/>
        </w:rPr>
        <w:t>深入贯彻落实</w:t>
      </w:r>
      <w:r>
        <w:rPr>
          <w:rStyle w:val="6"/>
          <w:rFonts w:ascii="Times New Roman" w:hAnsi="Times New Roman" w:eastAsia="仿宋_GB2312" w:cs="Times New Roman"/>
          <w:color w:val="000000"/>
          <w:sz w:val="32"/>
          <w:szCs w:val="32"/>
        </w:rPr>
        <w:t>党的</w:t>
      </w:r>
      <w:r>
        <w:rPr>
          <w:rStyle w:val="6"/>
          <w:rFonts w:hint="eastAsia" w:ascii="Times New Roman" w:hAnsi="Times New Roman" w:eastAsia="仿宋_GB2312" w:cs="Times New Roman"/>
          <w:color w:val="000000"/>
          <w:sz w:val="32"/>
          <w:szCs w:val="32"/>
          <w:lang w:eastAsia="zh-CN"/>
        </w:rPr>
        <w:t>二十大</w:t>
      </w:r>
      <w:r>
        <w:rPr>
          <w:rStyle w:val="6"/>
          <w:rFonts w:ascii="Times New Roman" w:hAnsi="Times New Roman" w:eastAsia="仿宋_GB2312" w:cs="Times New Roman"/>
          <w:color w:val="000000"/>
          <w:sz w:val="32"/>
          <w:szCs w:val="32"/>
        </w:rPr>
        <w:t>精神，</w:t>
      </w:r>
      <w:r>
        <w:rPr>
          <w:rFonts w:ascii="Times New Roman" w:hAnsi="Times New Roman" w:eastAsia="仿宋_GB2312" w:cs="Times New Roman"/>
          <w:color w:val="000000"/>
          <w:sz w:val="32"/>
          <w:szCs w:val="32"/>
        </w:rPr>
        <w:t>按照</w:t>
      </w:r>
      <w:r>
        <w:rPr>
          <w:rFonts w:hint="eastAsia" w:ascii="Times New Roman" w:hAnsi="Times New Roman" w:eastAsia="仿宋_GB2312" w:cs="Times New Roman"/>
          <w:color w:val="000000"/>
          <w:sz w:val="32"/>
          <w:szCs w:val="32"/>
          <w:lang w:val="en-US" w:eastAsia="zh-CN"/>
        </w:rPr>
        <w:t>中央</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我</w:t>
      </w:r>
      <w:r>
        <w:rPr>
          <w:rFonts w:ascii="Times New Roman" w:hAnsi="Times New Roman" w:eastAsia="仿宋_GB2312" w:cs="Times New Roman"/>
          <w:color w:val="000000"/>
          <w:sz w:val="32"/>
          <w:szCs w:val="32"/>
        </w:rPr>
        <w:t>省、</w:t>
      </w:r>
      <w:r>
        <w:rPr>
          <w:rFonts w:hint="eastAsia" w:ascii="Times New Roman" w:hAnsi="Times New Roman" w:eastAsia="仿宋_GB2312" w:cs="Times New Roman"/>
          <w:color w:val="000000"/>
          <w:sz w:val="32"/>
          <w:szCs w:val="32"/>
          <w:lang w:val="en-US" w:eastAsia="zh-CN"/>
        </w:rPr>
        <w:t>我</w:t>
      </w:r>
      <w:r>
        <w:rPr>
          <w:rFonts w:hint="eastAsia" w:ascii="Times New Roman" w:hAnsi="Times New Roman" w:eastAsia="仿宋_GB2312" w:cs="Times New Roman"/>
          <w:color w:val="000000"/>
          <w:sz w:val="32"/>
          <w:szCs w:val="32"/>
          <w:lang w:eastAsia="zh-CN"/>
        </w:rPr>
        <w:t>区</w:t>
      </w:r>
      <w:r>
        <w:rPr>
          <w:rFonts w:ascii="Times New Roman" w:hAnsi="Times New Roman" w:eastAsia="仿宋_GB2312" w:cs="Times New Roman"/>
          <w:color w:val="000000"/>
          <w:sz w:val="32"/>
          <w:szCs w:val="32"/>
        </w:rPr>
        <w:t>关于信息公开工作相关文件要求，坚持以公平、公正、公开、便民为基本原则，</w:t>
      </w:r>
      <w:r>
        <w:rPr>
          <w:rFonts w:hint="eastAsia" w:ascii="Times New Roman" w:hAnsi="Times New Roman" w:eastAsia="仿宋_GB2312" w:cs="Times New Roman"/>
          <w:color w:val="000000"/>
          <w:sz w:val="32"/>
          <w:szCs w:val="32"/>
        </w:rPr>
        <w:t>把政府信息公开作为加强从严治党建设的重要举措，</w:t>
      </w:r>
      <w:r>
        <w:rPr>
          <w:rFonts w:ascii="Times New Roman" w:hAnsi="Times New Roman" w:eastAsia="仿宋_GB2312" w:cs="Times New Roman"/>
          <w:color w:val="000000"/>
          <w:sz w:val="32"/>
          <w:szCs w:val="32"/>
        </w:rPr>
        <w:t>大力推进决策、执行、管理、服务、结果公开，进一步深化公开内容、拓展公开范围、创新公开方式，进一步增强服务意识、加强政策解读、回应群众关切，有效提升了发展改革工作规范化、透明度、公信力，有力保障了人民群众的知情权、参与权、监督权</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20" w:leftChars="9" w:firstLine="623" w:firstLineChars="194"/>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楷体_GB2312" w:cs="Times New Roman"/>
          <w:b/>
          <w:color w:val="000000"/>
          <w:sz w:val="32"/>
          <w:szCs w:val="32"/>
          <w:highlight w:val="none"/>
          <w:lang w:eastAsia="zh-CN"/>
        </w:rPr>
        <w:t>（一）主</w:t>
      </w:r>
      <w:r>
        <w:rPr>
          <w:rFonts w:hint="eastAsia" w:ascii="Times New Roman" w:hAnsi="Times New Roman" w:eastAsia="楷体_GB2312" w:cs="Times New Roman"/>
          <w:b/>
          <w:color w:val="000000"/>
          <w:sz w:val="32"/>
          <w:szCs w:val="32"/>
          <w:highlight w:val="none"/>
        </w:rPr>
        <w:t>动公开。</w:t>
      </w: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年累计主动公开信息</w:t>
      </w:r>
      <w:r>
        <w:rPr>
          <w:rFonts w:hint="eastAsia" w:ascii="Times New Roman" w:hAnsi="Times New Roman" w:eastAsia="仿宋_GB2312" w:cs="Times New Roman"/>
          <w:color w:val="000000"/>
          <w:sz w:val="32"/>
          <w:szCs w:val="32"/>
          <w:highlight w:val="none"/>
          <w:lang w:val="en-US" w:eastAsia="zh-CN"/>
        </w:rPr>
        <w:t>153</w:t>
      </w:r>
      <w:r>
        <w:rPr>
          <w:rFonts w:hint="eastAsia" w:ascii="Times New Roman" w:hAnsi="Times New Roman" w:eastAsia="仿宋_GB2312" w:cs="Times New Roman"/>
          <w:color w:val="000000"/>
          <w:sz w:val="32"/>
          <w:szCs w:val="32"/>
          <w:highlight w:val="none"/>
        </w:rPr>
        <w:t>条，其中概况类信息</w:t>
      </w:r>
      <w:r>
        <w:rPr>
          <w:rFonts w:hint="eastAsia" w:ascii="Times New Roman" w:hAnsi="Times New Roman" w:eastAsia="仿宋_GB2312" w:cs="Times New Roman"/>
          <w:color w:val="000000"/>
          <w:sz w:val="32"/>
          <w:szCs w:val="32"/>
          <w:highlight w:val="none"/>
          <w:lang w:val="en-US" w:eastAsia="zh-CN"/>
        </w:rPr>
        <w:t>52</w:t>
      </w:r>
      <w:r>
        <w:rPr>
          <w:rFonts w:hint="eastAsia" w:ascii="Times New Roman" w:hAnsi="Times New Roman" w:eastAsia="仿宋_GB2312" w:cs="Times New Roman"/>
          <w:color w:val="000000"/>
          <w:sz w:val="32"/>
          <w:szCs w:val="32"/>
          <w:highlight w:val="none"/>
        </w:rPr>
        <w:t>条，政务动态信息</w:t>
      </w:r>
      <w:r>
        <w:rPr>
          <w:rFonts w:hint="eastAsia" w:ascii="Times New Roman" w:hAnsi="Times New Roman" w:eastAsia="仿宋_GB2312" w:cs="Times New Roman"/>
          <w:color w:val="000000"/>
          <w:sz w:val="32"/>
          <w:szCs w:val="32"/>
          <w:highlight w:val="none"/>
          <w:lang w:val="en-US" w:eastAsia="zh-CN"/>
        </w:rPr>
        <w:t>101</w:t>
      </w:r>
      <w:r>
        <w:rPr>
          <w:rFonts w:hint="eastAsia" w:ascii="Times New Roman" w:hAnsi="Times New Roman" w:eastAsia="仿宋_GB2312" w:cs="Times New Roman"/>
          <w:color w:val="000000"/>
          <w:sz w:val="32"/>
          <w:szCs w:val="32"/>
          <w:highlight w:val="none"/>
        </w:rPr>
        <w:t>条，</w:t>
      </w:r>
      <w:r>
        <w:rPr>
          <w:rFonts w:hint="eastAsia" w:ascii="Times New Roman" w:hAnsi="Times New Roman" w:eastAsia="仿宋_GB2312" w:cs="Times New Roman"/>
          <w:color w:val="000000"/>
          <w:sz w:val="32"/>
          <w:szCs w:val="32"/>
          <w:highlight w:val="none"/>
          <w:lang w:eastAsia="zh-CN"/>
        </w:rPr>
        <w:t>“杨凌示范区发改局发展改革</w:t>
      </w:r>
      <w:r>
        <w:rPr>
          <w:rFonts w:hint="eastAsia" w:ascii="Times New Roman" w:hAnsi="Times New Roman" w:eastAsia="仿宋_GB2312" w:cs="Times New Roman"/>
          <w:color w:val="000000"/>
          <w:sz w:val="32"/>
          <w:szCs w:val="32"/>
          <w:highlight w:val="none"/>
        </w:rPr>
        <w:t>政务微信公开信息</w:t>
      </w:r>
      <w:r>
        <w:rPr>
          <w:rFonts w:hint="eastAsia" w:ascii="Times New Roman" w:hAnsi="Times New Roman" w:eastAsia="仿宋_GB2312" w:cs="Times New Roman"/>
          <w:color w:val="000000"/>
          <w:sz w:val="32"/>
          <w:szCs w:val="32"/>
          <w:highlight w:val="none"/>
          <w:lang w:val="en-US" w:eastAsia="zh-CN"/>
        </w:rPr>
        <w:t>45</w:t>
      </w:r>
      <w:r>
        <w:rPr>
          <w:rFonts w:hint="eastAsia" w:ascii="Times New Roman" w:hAnsi="Times New Roman" w:eastAsia="仿宋_GB2312" w:cs="Times New Roman"/>
          <w:color w:val="000000"/>
          <w:sz w:val="32"/>
          <w:szCs w:val="32"/>
          <w:highlight w:val="none"/>
        </w:rPr>
        <w:t>条，涵盖国民经济和社会发展相关</w:t>
      </w:r>
      <w:r>
        <w:rPr>
          <w:rFonts w:hint="eastAsia" w:ascii="Times New Roman" w:hAnsi="Times New Roman" w:eastAsia="仿宋_GB2312" w:cs="Times New Roman"/>
          <w:color w:val="000000"/>
          <w:sz w:val="32"/>
          <w:szCs w:val="32"/>
          <w:highlight w:val="none"/>
          <w:lang w:eastAsia="zh-CN"/>
        </w:rPr>
        <w:t>政策性文件</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扩大有效投资、</w:t>
      </w:r>
      <w:r>
        <w:rPr>
          <w:rFonts w:hint="eastAsia" w:ascii="Times New Roman" w:hAnsi="Times New Roman" w:eastAsia="仿宋_GB2312" w:cs="Times New Roman"/>
          <w:color w:val="000000"/>
          <w:sz w:val="32"/>
          <w:szCs w:val="32"/>
          <w:highlight w:val="none"/>
        </w:rPr>
        <w:t>价格监测、价格公示、目标责任考核、双随机一公开等方面相关信息。发布政策解读</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条，办理</w:t>
      </w:r>
      <w:r>
        <w:rPr>
          <w:rFonts w:ascii="Times New Roman" w:hAnsi="Times New Roman" w:eastAsia="仿宋_GB2312" w:cs="Times New Roman"/>
          <w:sz w:val="32"/>
          <w:szCs w:val="32"/>
          <w:highlight w:val="none"/>
        </w:rPr>
        <w:t>人民网留言</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件、</w:t>
      </w:r>
      <w:r>
        <w:rPr>
          <w:rFonts w:hint="eastAsia" w:ascii="Times New Roman" w:hAnsi="Times New Roman" w:eastAsia="仿宋_GB2312" w:cs="Times New Roman"/>
          <w:color w:val="000000"/>
          <w:sz w:val="32"/>
          <w:szCs w:val="32"/>
          <w:highlight w:val="none"/>
        </w:rPr>
        <w:t>12345留言</w:t>
      </w:r>
      <w:r>
        <w:rPr>
          <w:rFonts w:hint="eastAsia" w:ascii="Times New Roman" w:hAnsi="Times New Roman" w:eastAsia="仿宋_GB2312" w:cs="Times New Roman"/>
          <w:color w:val="000000"/>
          <w:sz w:val="32"/>
          <w:szCs w:val="32"/>
          <w:highlight w:val="none"/>
          <w:lang w:val="en-US" w:eastAsia="zh-CN"/>
        </w:rPr>
        <w:t>27</w:t>
      </w:r>
      <w:r>
        <w:rPr>
          <w:rFonts w:hint="eastAsia" w:ascii="Times New Roman" w:hAnsi="Times New Roman" w:eastAsia="仿宋_GB2312" w:cs="Times New Roman"/>
          <w:color w:val="000000"/>
          <w:sz w:val="32"/>
          <w:szCs w:val="32"/>
          <w:highlight w:val="none"/>
        </w:rPr>
        <w:t>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20" w:leftChars="9" w:firstLine="598" w:firstLineChars="186"/>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楷体_GB2312" w:cs="Times New Roman"/>
          <w:b/>
          <w:color w:val="000000"/>
          <w:sz w:val="32"/>
          <w:szCs w:val="32"/>
          <w:lang w:eastAsia="zh-CN"/>
        </w:rPr>
        <w:t>（二）</w:t>
      </w:r>
      <w:r>
        <w:rPr>
          <w:rFonts w:hint="eastAsia" w:ascii="Times New Roman" w:hAnsi="Times New Roman" w:eastAsia="楷体_GB2312" w:cs="Times New Roman"/>
          <w:b/>
          <w:color w:val="000000"/>
          <w:sz w:val="32"/>
          <w:szCs w:val="32"/>
        </w:rPr>
        <w:t>依申请公开。</w:t>
      </w:r>
      <w:r>
        <w:rPr>
          <w:rFonts w:hint="eastAsia" w:ascii="Times New Roman" w:hAnsi="Times New Roman" w:eastAsia="仿宋_GB2312" w:cs="Times New Roman"/>
          <w:color w:val="000000"/>
          <w:sz w:val="32"/>
          <w:szCs w:val="32"/>
          <w:highlight w:val="none"/>
          <w:lang w:val="en-US" w:eastAsia="zh-CN"/>
        </w:rPr>
        <w:t>2023年</w:t>
      </w:r>
      <w:r>
        <w:rPr>
          <w:rFonts w:hint="eastAsia" w:ascii="Times New Roman" w:hAnsi="Times New Roman" w:eastAsia="仿宋_GB2312" w:cs="Times New Roman"/>
          <w:color w:val="000000"/>
          <w:sz w:val="32"/>
          <w:szCs w:val="32"/>
          <w:highlight w:val="none"/>
        </w:rPr>
        <w:t>共收到</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件政府信息公开申请，办结率100%。</w:t>
      </w:r>
      <w:r>
        <w:rPr>
          <w:rFonts w:hint="eastAsia" w:ascii="Times New Roman" w:hAnsi="Times New Roman" w:eastAsia="仿宋_GB2312" w:cs="Times New Roman"/>
          <w:b/>
          <w:bCs/>
          <w:color w:val="000000"/>
          <w:sz w:val="32"/>
          <w:szCs w:val="32"/>
          <w:highlight w:val="none"/>
          <w:lang w:eastAsia="zh-CN"/>
        </w:rPr>
        <w:t>从申请类别看，均为</w:t>
      </w:r>
      <w:r>
        <w:rPr>
          <w:rFonts w:hint="eastAsia" w:ascii="Times New Roman" w:hAnsi="Times New Roman" w:eastAsia="仿宋_GB2312" w:cs="Times New Roman"/>
          <w:color w:val="000000"/>
          <w:sz w:val="32"/>
          <w:szCs w:val="32"/>
          <w:highlight w:val="none"/>
        </w:rPr>
        <w:t>自然人申请</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b/>
          <w:bCs/>
          <w:color w:val="000000"/>
          <w:sz w:val="32"/>
          <w:szCs w:val="32"/>
          <w:highlight w:val="none"/>
          <w:lang w:eastAsia="zh-CN"/>
        </w:rPr>
        <w:t>从申请事由看，</w:t>
      </w:r>
      <w:r>
        <w:rPr>
          <w:rFonts w:hint="eastAsia" w:ascii="Times New Roman" w:hAnsi="Times New Roman" w:eastAsia="仿宋_GB2312" w:cs="Times New Roman"/>
          <w:color w:val="000000"/>
          <w:sz w:val="32"/>
          <w:szCs w:val="32"/>
          <w:highlight w:val="none"/>
        </w:rPr>
        <w:t>主要集中在查询房屋所在地拆迁项目立项情况、商品房价格备案情况等。</w:t>
      </w:r>
      <w:r>
        <w:rPr>
          <w:rFonts w:hint="eastAsia" w:ascii="Times New Roman" w:hAnsi="Times New Roman" w:eastAsia="仿宋_GB2312" w:cs="Times New Roman"/>
          <w:b/>
          <w:bCs/>
          <w:color w:val="000000"/>
          <w:sz w:val="32"/>
          <w:szCs w:val="32"/>
          <w:highlight w:val="none"/>
          <w:lang w:eastAsia="zh-CN"/>
        </w:rPr>
        <w:t>从申请渠道看，</w:t>
      </w:r>
      <w:r>
        <w:rPr>
          <w:rFonts w:hint="eastAsia" w:ascii="Times New Roman" w:hAnsi="Times New Roman" w:eastAsia="仿宋_GB2312" w:cs="Times New Roman"/>
          <w:color w:val="000000"/>
          <w:sz w:val="32"/>
          <w:szCs w:val="32"/>
          <w:highlight w:val="none"/>
        </w:rPr>
        <w:t>主要包括来信、网站</w:t>
      </w:r>
      <w:r>
        <w:rPr>
          <w:rFonts w:hint="eastAsia" w:ascii="Times New Roman" w:hAnsi="Times New Roman" w:eastAsia="仿宋_GB2312" w:cs="Times New Roman"/>
          <w:color w:val="000000"/>
          <w:sz w:val="32"/>
          <w:szCs w:val="32"/>
          <w:highlight w:val="none"/>
          <w:lang w:eastAsia="zh-CN"/>
        </w:rPr>
        <w:t>申请</w:t>
      </w:r>
      <w:r>
        <w:rPr>
          <w:rFonts w:hint="eastAsia" w:ascii="Times New Roman" w:hAnsi="Times New Roman" w:eastAsia="仿宋_GB2312" w:cs="Times New Roman"/>
          <w:color w:val="000000"/>
          <w:sz w:val="32"/>
          <w:szCs w:val="32"/>
          <w:highlight w:val="none"/>
        </w:rPr>
        <w:t>等途径，其中来信</w:t>
      </w:r>
      <w:r>
        <w:rPr>
          <w:rFonts w:hint="eastAsia" w:ascii="Times New Roman" w:hAnsi="Times New Roman" w:eastAsia="仿宋_GB2312" w:cs="Times New Roman"/>
          <w:color w:val="000000"/>
          <w:sz w:val="32"/>
          <w:szCs w:val="32"/>
          <w:highlight w:val="none"/>
          <w:lang w:val="en-US" w:eastAsia="zh-CN"/>
        </w:rPr>
        <w:t>2</w:t>
      </w:r>
      <w:r>
        <w:rPr>
          <w:rFonts w:hint="eastAsia" w:ascii="Times New Roman" w:hAnsi="Times New Roman" w:eastAsia="仿宋_GB2312" w:cs="Times New Roman"/>
          <w:color w:val="000000"/>
          <w:sz w:val="32"/>
          <w:szCs w:val="32"/>
          <w:highlight w:val="none"/>
        </w:rPr>
        <w:t>件，网站</w:t>
      </w:r>
      <w:r>
        <w:rPr>
          <w:rFonts w:hint="eastAsia" w:ascii="Times New Roman" w:hAnsi="Times New Roman" w:eastAsia="仿宋_GB2312" w:cs="Times New Roman"/>
          <w:color w:val="000000"/>
          <w:sz w:val="32"/>
          <w:szCs w:val="32"/>
          <w:highlight w:val="none"/>
          <w:lang w:val="en-US" w:eastAsia="zh-CN"/>
        </w:rPr>
        <w:t>1</w:t>
      </w:r>
      <w:r>
        <w:rPr>
          <w:rFonts w:hint="eastAsia" w:ascii="Times New Roman" w:hAnsi="Times New Roman" w:eastAsia="仿宋_GB2312" w:cs="Times New Roman"/>
          <w:color w:val="000000"/>
          <w:sz w:val="32"/>
          <w:szCs w:val="32"/>
          <w:highlight w:val="none"/>
        </w:rPr>
        <w:t>件</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0" w:leftChars="0" w:firstLine="620" w:firstLineChars="193"/>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楷体_GB2312" w:cs="Times New Roman"/>
          <w:b/>
          <w:color w:val="000000"/>
          <w:sz w:val="32"/>
          <w:szCs w:val="32"/>
          <w:highlight w:val="none"/>
          <w:lang w:val="en-US" w:eastAsia="zh-CN"/>
        </w:rPr>
        <w:t>（三）平台建设及信息公开管理。</w:t>
      </w:r>
      <w:r>
        <w:rPr>
          <w:rFonts w:ascii="Times New Roman" w:hAnsi="Times New Roman" w:eastAsia="仿宋_GB2312" w:cs="Times New Roman"/>
          <w:color w:val="000000"/>
          <w:sz w:val="32"/>
          <w:szCs w:val="32"/>
        </w:rPr>
        <w:t>成立由分管办公室的</w:t>
      </w:r>
      <w:r>
        <w:rPr>
          <w:rFonts w:hint="eastAsia" w:ascii="Times New Roman" w:hAnsi="Times New Roman" w:eastAsia="仿宋_GB2312" w:cs="Times New Roman"/>
          <w:color w:val="000000"/>
          <w:sz w:val="32"/>
          <w:szCs w:val="32"/>
          <w:lang w:eastAsia="zh-CN"/>
        </w:rPr>
        <w:t>局领导</w:t>
      </w:r>
      <w:r>
        <w:rPr>
          <w:rFonts w:ascii="Times New Roman" w:hAnsi="Times New Roman" w:eastAsia="仿宋_GB2312" w:cs="Times New Roman"/>
          <w:color w:val="000000"/>
          <w:sz w:val="32"/>
          <w:szCs w:val="32"/>
        </w:rPr>
        <w:t>任组长、办公室主任任副组长、各</w:t>
      </w:r>
      <w:r>
        <w:rPr>
          <w:rFonts w:hint="eastAsia" w:ascii="Times New Roman" w:hAnsi="Times New Roman" w:eastAsia="仿宋_GB2312" w:cs="Times New Roman"/>
          <w:color w:val="000000"/>
          <w:sz w:val="32"/>
          <w:szCs w:val="32"/>
          <w:lang w:eastAsia="zh-CN"/>
        </w:rPr>
        <w:t>科室</w:t>
      </w:r>
      <w:r>
        <w:rPr>
          <w:rFonts w:ascii="Times New Roman" w:hAnsi="Times New Roman" w:eastAsia="仿宋_GB2312" w:cs="Times New Roman"/>
          <w:color w:val="000000"/>
          <w:sz w:val="32"/>
          <w:szCs w:val="32"/>
        </w:rPr>
        <w:t>负责人为成员的信息公开工作领导小组，形成了全</w:t>
      </w:r>
      <w:r>
        <w:rPr>
          <w:rFonts w:hint="eastAsia" w:ascii="Times New Roman" w:hAnsi="Times New Roman" w:eastAsia="仿宋_GB2312" w:cs="Times New Roman"/>
          <w:color w:val="000000"/>
          <w:sz w:val="32"/>
          <w:szCs w:val="32"/>
          <w:lang w:eastAsia="zh-CN"/>
        </w:rPr>
        <w:t>局</w:t>
      </w:r>
      <w:r>
        <w:rPr>
          <w:rFonts w:ascii="Times New Roman" w:hAnsi="Times New Roman" w:eastAsia="仿宋_GB2312" w:cs="Times New Roman"/>
          <w:color w:val="000000"/>
          <w:sz w:val="32"/>
          <w:szCs w:val="32"/>
        </w:rPr>
        <w:t>齐抓共管、各司其责、分工协作的工作格局。</w:t>
      </w:r>
      <w:r>
        <w:rPr>
          <w:rFonts w:hint="eastAsia" w:ascii="Times New Roman" w:hAnsi="Times New Roman" w:eastAsia="仿宋_GB2312" w:cs="Times New Roman"/>
          <w:color w:val="000000"/>
          <w:sz w:val="32"/>
          <w:szCs w:val="32"/>
          <w:lang w:eastAsia="zh-CN"/>
        </w:rPr>
        <w:t>安排专项资金，加大局官方网站及政务新媒体平台建设力度，确定专人管理，确保平台正常运行。</w:t>
      </w:r>
      <w:r>
        <w:rPr>
          <w:rFonts w:hint="eastAsia" w:ascii="Times New Roman" w:hAnsi="Times New Roman" w:eastAsia="仿宋_GB2312" w:cs="Times New Roman"/>
          <w:color w:val="000000"/>
          <w:sz w:val="32"/>
          <w:szCs w:val="32"/>
        </w:rPr>
        <w:t>按照《政府信息公开条例》</w:t>
      </w:r>
      <w:r>
        <w:rPr>
          <w:rFonts w:hint="eastAsia" w:ascii="Times New Roman" w:hAnsi="Times New Roman" w:eastAsia="仿宋_GB2312" w:cs="Times New Roman"/>
          <w:color w:val="000000"/>
          <w:sz w:val="32"/>
          <w:szCs w:val="32"/>
          <w:lang w:eastAsia="zh-CN"/>
        </w:rPr>
        <w:t>要求</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严格落实信息审核制度，</w:t>
      </w:r>
      <w:r>
        <w:rPr>
          <w:rFonts w:hint="eastAsia" w:ascii="Times New Roman" w:hAnsi="Times New Roman" w:eastAsia="仿宋_GB2312" w:cs="Times New Roman"/>
          <w:color w:val="000000"/>
          <w:sz w:val="32"/>
          <w:szCs w:val="32"/>
        </w:rPr>
        <w:t>规范信息公开程序、方式、时限及追责措施，</w:t>
      </w:r>
      <w:r>
        <w:rPr>
          <w:rFonts w:hint="eastAsia" w:ascii="Times New Roman" w:hAnsi="Times New Roman" w:eastAsia="仿宋_GB2312" w:cs="Times New Roman"/>
          <w:color w:val="000000"/>
          <w:sz w:val="32"/>
          <w:szCs w:val="32"/>
          <w:lang w:eastAsia="zh-CN"/>
        </w:rPr>
        <w:t>确保信息</w:t>
      </w:r>
      <w:r>
        <w:rPr>
          <w:rFonts w:hint="eastAsia" w:ascii="Times New Roman" w:hAnsi="Times New Roman" w:eastAsia="仿宋_GB2312" w:cs="Times New Roman"/>
          <w:color w:val="000000"/>
          <w:sz w:val="32"/>
          <w:szCs w:val="32"/>
        </w:rPr>
        <w:t>公开</w:t>
      </w:r>
      <w:r>
        <w:rPr>
          <w:rFonts w:hint="eastAsia"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rPr>
        <w:t>准确性和及时性。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lang w:eastAsia="zh-CN"/>
        </w:rPr>
      </w:pPr>
      <w:r>
        <w:rPr>
          <w:rFonts w:hint="eastAsia" w:ascii="Times New Roman" w:hAnsi="Times New Roman" w:eastAsia="楷体_GB2312" w:cs="Times New Roman"/>
          <w:b/>
          <w:color w:val="000000"/>
          <w:sz w:val="32"/>
          <w:szCs w:val="32"/>
          <w:highlight w:val="none"/>
        </w:rPr>
        <w:t>（</w:t>
      </w:r>
      <w:r>
        <w:rPr>
          <w:rFonts w:hint="eastAsia" w:ascii="Times New Roman" w:hAnsi="Times New Roman" w:eastAsia="楷体_GB2312" w:cs="Times New Roman"/>
          <w:b/>
          <w:color w:val="000000"/>
          <w:sz w:val="32"/>
          <w:szCs w:val="32"/>
          <w:highlight w:val="none"/>
          <w:lang w:eastAsia="zh-CN"/>
        </w:rPr>
        <w:t>四</w:t>
      </w:r>
      <w:r>
        <w:rPr>
          <w:rFonts w:hint="eastAsia" w:ascii="Times New Roman" w:hAnsi="Times New Roman" w:eastAsia="楷体_GB2312" w:cs="Times New Roman"/>
          <w:b/>
          <w:color w:val="000000"/>
          <w:sz w:val="32"/>
          <w:szCs w:val="32"/>
          <w:highlight w:val="none"/>
        </w:rPr>
        <w:t>）行政复议、行政诉讼。</w:t>
      </w:r>
      <w:r>
        <w:rPr>
          <w:rFonts w:hint="eastAsia" w:ascii="Times New Roman" w:hAnsi="Times New Roman" w:eastAsia="仿宋_GB2312" w:cs="Times New Roman"/>
          <w:color w:val="000000"/>
          <w:sz w:val="32"/>
          <w:szCs w:val="32"/>
          <w:highlight w:val="none"/>
          <w:lang w:val="en-US" w:eastAsia="zh-CN"/>
        </w:rPr>
        <w:t>2023年，产生政府信息公开行政复议案件2件，均已驳回申请人复议请求；未产生产生涉及政府信息公开行政诉讼。</w:t>
      </w:r>
    </w:p>
    <w:p>
      <w:pPr>
        <w:shd w:val="clear" w:color="auto" w:fill="FFFFFF"/>
        <w:snapToGrid w:val="0"/>
        <w:spacing w:before="0" w:after="0" w:line="360" w:lineRule="auto"/>
        <w:ind w:firstLine="482"/>
        <w:rPr>
          <w:rFonts w:ascii="BatangChe" w:hAnsi="BatangChe" w:eastAsia="黑体" w:cs="宋体"/>
          <w:bCs/>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二、主动公开政府信息情况</w:t>
      </w:r>
    </w:p>
    <w:tbl>
      <w:tblPr>
        <w:tblStyle w:val="4"/>
        <w:tblW w:w="0" w:type="auto"/>
        <w:jc w:val="center"/>
        <w:tblLayout w:type="fixed"/>
        <w:tblCellMar>
          <w:top w:w="15" w:type="dxa"/>
          <w:left w:w="15" w:type="dxa"/>
          <w:bottom w:w="15" w:type="dxa"/>
          <w:right w:w="15" w:type="dxa"/>
        </w:tblCellMar>
      </w:tblPr>
      <w:tblGrid>
        <w:gridCol w:w="2255"/>
        <w:gridCol w:w="2255"/>
        <w:gridCol w:w="2255"/>
        <w:gridCol w:w="2255"/>
      </w:tblGrid>
      <w:tr>
        <w:tblPrEx>
          <w:tblCellMar>
            <w:top w:w="15" w:type="dxa"/>
            <w:left w:w="15" w:type="dxa"/>
            <w:bottom w:w="15" w:type="dxa"/>
            <w:right w:w="15" w:type="dxa"/>
          </w:tblCellMar>
        </w:tblPrEx>
        <w:trPr>
          <w:trHeight w:val="577" w:hRule="atLeast"/>
          <w:jc w:val="center"/>
        </w:trPr>
        <w:tc>
          <w:tcPr>
            <w:tcW w:w="9020" w:type="dxa"/>
            <w:gridSpan w:val="4"/>
            <w:tcBorders>
              <w:top w:val="single" w:color="auto" w:sz="12" w:space="0"/>
              <w:left w:val="single" w:color="auto" w:sz="12" w:space="0"/>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第二十条第（一）项</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w:t>
            </w:r>
            <w:r>
              <w:rPr>
                <w:rFonts w:ascii="BatangChe" w:hAnsi="BatangChe" w:eastAsia="宋体" w:cs="Calibri"/>
                <w:color w:val="000000" w:themeColor="text1"/>
                <w:sz w:val="24"/>
                <w:szCs w:val="24"/>
                <w14:textFill>
                  <w14:solidFill>
                    <w14:schemeClr w14:val="tx1"/>
                  </w14:solidFill>
                </w14:textFill>
              </w:rPr>
              <w:t>制</w:t>
            </w:r>
            <w:r>
              <w:rPr>
                <w:rFonts w:ascii="BatangChe" w:hAnsi="BatangChe" w:eastAsia="宋体" w:cs="宋体"/>
                <w:color w:val="000000" w:themeColor="text1"/>
                <w:sz w:val="24"/>
                <w:szCs w:val="24"/>
                <w14:textFill>
                  <w14:solidFill>
                    <w14:schemeClr w14:val="tx1"/>
                  </w14:solidFill>
                </w14:textFill>
              </w:rPr>
              <w:t>发件</w:t>
            </w:r>
            <w:r>
              <w:rPr>
                <w:rFonts w:ascii="BatangChe" w:hAnsi="BatangChe" w:eastAsia="宋体" w:cs="Calibri"/>
                <w:color w:val="000000" w:themeColor="text1"/>
                <w:sz w:val="24"/>
                <w:szCs w:val="24"/>
                <w14:textFill>
                  <w14:solidFill>
                    <w14:schemeClr w14:val="tx1"/>
                  </w14:solidFill>
                </w14:textFill>
              </w:rPr>
              <w:t>数</w:t>
            </w:r>
          </w:p>
        </w:tc>
        <w:tc>
          <w:tcPr>
            <w:tcW w:w="225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本年废止件数</w:t>
            </w:r>
          </w:p>
        </w:tc>
        <w:tc>
          <w:tcPr>
            <w:tcW w:w="2255" w:type="dxa"/>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现行有效件</w:t>
            </w:r>
            <w:r>
              <w:rPr>
                <w:rFonts w:ascii="BatangChe" w:hAnsi="BatangChe" w:eastAsia="宋体" w:cs="Calibri"/>
                <w:color w:val="000000" w:themeColor="text1"/>
                <w:sz w:val="24"/>
                <w:szCs w:val="24"/>
                <w14:textFill>
                  <w14:solidFill>
                    <w14:schemeClr w14:val="tx1"/>
                  </w14:solidFill>
                </w14:textFill>
              </w:rPr>
              <w:t>数</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规章</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行政规范性文件</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c>
          <w:tcPr>
            <w:tcW w:w="2255" w:type="dxa"/>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第二十条第（五）项</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行政许可</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hint="default"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第二十条第（六）项</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single" w:color="auto" w:sz="8" w:space="0"/>
              <w:left w:val="nil"/>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本年处理决定数量</w:t>
            </w:r>
          </w:p>
        </w:tc>
      </w:tr>
      <w:tr>
        <w:tblPrEx>
          <w:tblCellMar>
            <w:top w:w="15" w:type="dxa"/>
            <w:left w:w="15" w:type="dxa"/>
            <w:bottom w:w="15" w:type="dxa"/>
            <w:right w:w="15" w:type="dxa"/>
          </w:tblCellMar>
        </w:tblPrEx>
        <w:trPr>
          <w:trHeight w:val="13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行政处罚</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tblPrEx>
          <w:tblCellMar>
            <w:top w:w="15" w:type="dxa"/>
            <w:left w:w="15" w:type="dxa"/>
            <w:bottom w:w="15" w:type="dxa"/>
            <w:right w:w="15" w:type="dxa"/>
          </w:tblCellMar>
        </w:tblPrEx>
        <w:trPr>
          <w:trHeight w:val="1084"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行政强制</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r>
        <w:tblPrEx>
          <w:tblCellMar>
            <w:top w:w="15" w:type="dxa"/>
            <w:left w:w="15" w:type="dxa"/>
            <w:bottom w:w="15" w:type="dxa"/>
            <w:right w:w="15" w:type="dxa"/>
          </w:tblCellMar>
        </w:tblPrEx>
        <w:trPr>
          <w:trHeight w:val="577" w:hRule="atLeast"/>
          <w:jc w:val="center"/>
        </w:trPr>
        <w:tc>
          <w:tcPr>
            <w:tcW w:w="9020" w:type="dxa"/>
            <w:gridSpan w:val="4"/>
            <w:tcBorders>
              <w:top w:val="nil"/>
              <w:left w:val="single" w:color="auto" w:sz="12" w:space="0"/>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第二十条第（八）项</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信息内容</w:t>
            </w:r>
          </w:p>
        </w:tc>
        <w:tc>
          <w:tcPr>
            <w:tcW w:w="6765" w:type="dxa"/>
            <w:gridSpan w:val="3"/>
            <w:tcBorders>
              <w:top w:val="nil"/>
              <w:left w:val="nil"/>
              <w:bottom w:val="single" w:color="auto" w:sz="8" w:space="0"/>
              <w:right w:val="single" w:color="auto" w:sz="12"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lang w:eastAsia="zh-CN"/>
                <w14:textFill>
                  <w14:solidFill>
                    <w14:schemeClr w14:val="tx1"/>
                  </w14:solidFill>
                </w14:textFill>
              </w:rPr>
            </w:pPr>
            <w:r>
              <w:rPr>
                <w:rFonts w:ascii="BatangChe" w:hAnsi="BatangChe" w:eastAsia="宋体" w:cs="宋体"/>
                <w:color w:val="000000" w:themeColor="text1"/>
                <w:sz w:val="24"/>
                <w:szCs w:val="24"/>
                <w:lang w:eastAsia="zh-CN"/>
                <w14:textFill>
                  <w14:solidFill>
                    <w14:schemeClr w14:val="tx1"/>
                  </w14:solidFill>
                </w14:textFill>
              </w:rPr>
              <w:t>本年收费金额（单位：万元）</w:t>
            </w:r>
          </w:p>
        </w:tc>
      </w:tr>
      <w:tr>
        <w:tblPrEx>
          <w:tblCellMar>
            <w:top w:w="15" w:type="dxa"/>
            <w:left w:w="15" w:type="dxa"/>
            <w:bottom w:w="15" w:type="dxa"/>
            <w:right w:w="15" w:type="dxa"/>
          </w:tblCellMar>
        </w:tblPrEx>
        <w:trPr>
          <w:trHeight w:val="577" w:hRule="atLeast"/>
          <w:jc w:val="center"/>
        </w:trPr>
        <w:tc>
          <w:tcPr>
            <w:tcW w:w="2255" w:type="dxa"/>
            <w:tcBorders>
              <w:top w:val="nil"/>
              <w:left w:val="single" w:color="auto" w:sz="12" w:space="0"/>
              <w:bottom w:val="single" w:color="auto" w:sz="12" w:space="0"/>
              <w:right w:val="single" w:color="auto" w:sz="8" w:space="0"/>
            </w:tcBorders>
            <w:tcMar>
              <w:top w:w="0" w:type="dxa"/>
              <w:left w:w="57" w:type="dxa"/>
              <w:bottom w:w="0" w:type="dxa"/>
              <w:right w:w="57" w:type="dxa"/>
            </w:tcMar>
            <w:vAlign w:val="center"/>
          </w:tcPr>
          <w:p>
            <w:pPr>
              <w:jc w:val="center"/>
              <w:rPr>
                <w:rFonts w:ascii="BatangChe" w:hAnsi="BatangChe" w:eastAsia="宋体" w:cs="宋体"/>
                <w:color w:val="000000" w:themeColor="text1"/>
                <w:sz w:val="24"/>
                <w:szCs w:val="24"/>
                <w14:textFill>
                  <w14:solidFill>
                    <w14:schemeClr w14:val="tx1"/>
                  </w14:solidFill>
                </w14:textFill>
              </w:rPr>
            </w:pPr>
            <w:r>
              <w:rPr>
                <w:rFonts w:ascii="BatangChe" w:hAnsi="BatangChe" w:eastAsia="宋体" w:cs="宋体"/>
                <w:color w:val="000000" w:themeColor="text1"/>
                <w:sz w:val="24"/>
                <w:szCs w:val="24"/>
                <w14:textFill>
                  <w14:solidFill>
                    <w14:schemeClr w14:val="tx1"/>
                  </w14:solidFill>
                </w14:textFill>
              </w:rPr>
              <w:t>行政事业性收费</w:t>
            </w:r>
          </w:p>
        </w:tc>
        <w:tc>
          <w:tcPr>
            <w:tcW w:w="6765" w:type="dxa"/>
            <w:gridSpan w:val="3"/>
            <w:tcBorders>
              <w:top w:val="nil"/>
              <w:left w:val="nil"/>
              <w:bottom w:val="single" w:color="auto" w:sz="12" w:space="0"/>
              <w:right w:val="single" w:color="auto" w:sz="12" w:space="0"/>
            </w:tcBorders>
            <w:tcMar>
              <w:top w:w="0" w:type="dxa"/>
              <w:left w:w="57" w:type="dxa"/>
              <w:bottom w:w="0" w:type="dxa"/>
              <w:right w:w="57" w:type="dxa"/>
            </w:tcMar>
            <w:vAlign w:val="center"/>
          </w:tcPr>
          <w:p>
            <w:pPr>
              <w:jc w:val="center"/>
              <w:rPr>
                <w:rFonts w:hint="eastAsia" w:ascii="BatangChe" w:hAnsi="BatangChe" w:eastAsia="宋体" w:cs="宋体"/>
                <w:color w:val="000000" w:themeColor="text1"/>
                <w:sz w:val="24"/>
                <w:szCs w:val="24"/>
                <w:lang w:val="en-US" w:eastAsia="zh-CN"/>
                <w14:textFill>
                  <w14:solidFill>
                    <w14:schemeClr w14:val="tx1"/>
                  </w14:solidFill>
                </w14:textFill>
              </w:rPr>
            </w:pPr>
            <w:r>
              <w:rPr>
                <w:rFonts w:hint="eastAsia" w:ascii="BatangChe" w:hAnsi="BatangChe" w:eastAsia="宋体" w:cs="宋体"/>
                <w:color w:val="000000" w:themeColor="text1"/>
                <w:sz w:val="24"/>
                <w:szCs w:val="24"/>
                <w:lang w:val="en-US" w:eastAsia="zh-CN"/>
                <w14:textFill>
                  <w14:solidFill>
                    <w14:schemeClr w14:val="tx1"/>
                  </w14:solidFill>
                </w14:textFill>
              </w:rPr>
              <w:t>0</w:t>
            </w:r>
          </w:p>
        </w:tc>
      </w:tr>
    </w:tbl>
    <w:p>
      <w:pPr>
        <w:shd w:val="clear" w:color="auto" w:fill="FFFFFF"/>
        <w:ind w:firstLine="480"/>
        <w:rPr>
          <w:rFonts w:ascii="BatangChe" w:hAnsi="BatangChe" w:eastAsia="黑体" w:cs="宋体"/>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三、收到和处理政府信息公开申请情况</w:t>
      </w:r>
    </w:p>
    <w:tbl>
      <w:tblPr>
        <w:tblStyle w:val="4"/>
        <w:tblW w:w="90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1109"/>
        <w:gridCol w:w="1073"/>
        <w:gridCol w:w="3317"/>
        <w:gridCol w:w="488"/>
        <w:gridCol w:w="406"/>
        <w:gridCol w:w="406"/>
        <w:gridCol w:w="735"/>
        <w:gridCol w:w="735"/>
        <w:gridCol w:w="406"/>
        <w:gridCol w:w="4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lang w:eastAsia="zh-CN"/>
                <w14:textFill>
                  <w14:solidFill>
                    <w14:schemeClr w14:val="tx1"/>
                  </w14:solidFill>
                </w14:textFill>
              </w:rPr>
              <w:t>（本列数据的勾稽关系为：第一项加第二项之和，等于第三项加第四项之和）</w:t>
            </w:r>
          </w:p>
        </w:tc>
        <w:tc>
          <w:tcPr>
            <w:tcW w:w="3582" w:type="dxa"/>
            <w:gridSpan w:val="7"/>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申请人情况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restart"/>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自然人</w:t>
            </w:r>
          </w:p>
        </w:tc>
        <w:tc>
          <w:tcPr>
            <w:tcW w:w="2688" w:type="dxa"/>
            <w:gridSpan w:val="5"/>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法人或其他组织</w:t>
            </w:r>
          </w:p>
        </w:tc>
        <w:tc>
          <w:tcPr>
            <w:tcW w:w="406" w:type="dxa"/>
            <w:vMerge w:val="restart"/>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5499" w:type="dxa"/>
            <w:gridSpan w:val="3"/>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488"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406" w:type="dxa"/>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商业</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企业</w:t>
            </w:r>
          </w:p>
        </w:tc>
        <w:tc>
          <w:tcPr>
            <w:tcW w:w="406" w:type="dxa"/>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科研</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机构</w:t>
            </w:r>
          </w:p>
        </w:tc>
        <w:tc>
          <w:tcPr>
            <w:tcW w:w="735" w:type="dxa"/>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社会公益组织</w:t>
            </w:r>
          </w:p>
        </w:tc>
        <w:tc>
          <w:tcPr>
            <w:tcW w:w="735" w:type="dxa"/>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法律服务机构</w:t>
            </w:r>
          </w:p>
        </w:tc>
        <w:tc>
          <w:tcPr>
            <w:tcW w:w="406" w:type="dxa"/>
            <w:tcMar>
              <w:top w:w="0" w:type="dxa"/>
              <w:left w:w="57" w:type="dxa"/>
              <w:bottom w:w="0" w:type="dxa"/>
              <w:right w:w="57"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tc>
        <w:tc>
          <w:tcPr>
            <w:tcW w:w="406"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5499" w:type="dxa"/>
            <w:gridSpan w:val="3"/>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一、本年新收政府信息公开申请数量</w:t>
            </w:r>
          </w:p>
        </w:tc>
        <w:tc>
          <w:tcPr>
            <w:tcW w:w="488" w:type="dxa"/>
            <w:tcMar>
              <w:top w:w="0" w:type="dxa"/>
              <w:left w:w="57" w:type="dxa"/>
              <w:bottom w:w="0" w:type="dxa"/>
              <w:right w:w="57" w:type="dxa"/>
            </w:tcMar>
            <w:vAlign w:val="cente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2</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5499" w:type="dxa"/>
            <w:gridSpan w:val="3"/>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二、上年结转政府信息公开申请数量</w:t>
            </w:r>
          </w:p>
        </w:tc>
        <w:tc>
          <w:tcPr>
            <w:tcW w:w="488" w:type="dxa"/>
            <w:tcMar>
              <w:top w:w="0" w:type="dxa"/>
              <w:left w:w="57" w:type="dxa"/>
              <w:bottom w:w="0" w:type="dxa"/>
              <w:right w:w="57" w:type="dxa"/>
            </w:tcMar>
            <w:vAlign w:val="cente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1109" w:type="dxa"/>
            <w:vMerge w:val="restart"/>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三、本年度办理结果</w:t>
            </w:r>
          </w:p>
        </w:tc>
        <w:tc>
          <w:tcPr>
            <w:tcW w:w="4390" w:type="dxa"/>
            <w:gridSpan w:val="2"/>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（一）予以公开</w:t>
            </w:r>
          </w:p>
        </w:tc>
        <w:tc>
          <w:tcPr>
            <w:tcW w:w="488" w:type="dxa"/>
            <w:tcMar>
              <w:top w:w="0" w:type="dxa"/>
              <w:left w:w="57" w:type="dxa"/>
              <w:bottom w:w="0" w:type="dxa"/>
              <w:right w:w="57" w:type="dxa"/>
            </w:tcMar>
            <w:vAlign w:val="center"/>
          </w:tcPr>
          <w:p>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（二）部分公开（区分处理的，只计这一情形，不计其他情形）</w:t>
            </w:r>
          </w:p>
        </w:tc>
        <w:tc>
          <w:tcPr>
            <w:tcW w:w="488" w:type="dxa"/>
            <w:tcMar>
              <w:top w:w="0" w:type="dxa"/>
              <w:left w:w="57" w:type="dxa"/>
              <w:bottom w:w="0" w:type="dxa"/>
              <w:right w:w="57" w:type="dxa"/>
            </w:tcMar>
            <w:vAlign w:val="cente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pPr>
              <w:rPr>
                <w:rFonts w:hint="default"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（三）不予公开</w:t>
            </w: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1.属于国家秘密</w:t>
            </w:r>
          </w:p>
        </w:tc>
        <w:tc>
          <w:tcPr>
            <w:tcW w:w="488" w:type="dxa"/>
            <w:tcMar>
              <w:top w:w="0" w:type="dxa"/>
              <w:left w:w="57" w:type="dxa"/>
              <w:bottom w:w="0" w:type="dxa"/>
              <w:right w:w="57" w:type="dxa"/>
            </w:tcMa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2.其他法律行政法规禁止公开</w:t>
            </w:r>
          </w:p>
        </w:tc>
        <w:tc>
          <w:tcPr>
            <w:tcW w:w="488" w:type="dxa"/>
            <w:tcMar>
              <w:top w:w="0" w:type="dxa"/>
              <w:left w:w="57" w:type="dxa"/>
              <w:bottom w:w="0" w:type="dxa"/>
              <w:right w:w="57" w:type="dxa"/>
            </w:tcMa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3.危及“三安全一稳定”</w:t>
            </w:r>
          </w:p>
        </w:tc>
        <w:tc>
          <w:tcPr>
            <w:tcW w:w="488" w:type="dxa"/>
            <w:tcMar>
              <w:top w:w="0" w:type="dxa"/>
              <w:left w:w="57" w:type="dxa"/>
              <w:bottom w:w="0" w:type="dxa"/>
              <w:right w:w="57" w:type="dxa"/>
            </w:tcMa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4.保护第三方合法权益</w:t>
            </w:r>
          </w:p>
        </w:tc>
        <w:tc>
          <w:tcPr>
            <w:tcW w:w="488" w:type="dxa"/>
            <w:tcMar>
              <w:top w:w="0" w:type="dxa"/>
              <w:left w:w="57" w:type="dxa"/>
              <w:bottom w:w="0" w:type="dxa"/>
              <w:right w:w="57" w:type="dxa"/>
            </w:tcMar>
          </w:tcPr>
          <w:p>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5.属于三类内部事务信息</w:t>
            </w:r>
          </w:p>
        </w:tc>
        <w:tc>
          <w:tcPr>
            <w:tcW w:w="488" w:type="dxa"/>
            <w:tcMar>
              <w:top w:w="0" w:type="dxa"/>
              <w:left w:w="57" w:type="dxa"/>
              <w:bottom w:w="0" w:type="dxa"/>
              <w:right w:w="57" w:type="dxa"/>
            </w:tcMar>
          </w:tcPr>
          <w:p>
            <w:pPr>
              <w:rPr>
                <w:rFonts w:hint="default"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54"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pPr>
              <w:spacing w:after="0"/>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6.属于四类过程性信息</w:t>
            </w:r>
          </w:p>
        </w:tc>
        <w:tc>
          <w:tcPr>
            <w:tcW w:w="488" w:type="dxa"/>
            <w:tcMar>
              <w:top w:w="0" w:type="dxa"/>
              <w:left w:w="57" w:type="dxa"/>
              <w:bottom w:w="0" w:type="dxa"/>
              <w:right w:w="57" w:type="dxa"/>
            </w:tcMar>
          </w:tcPr>
          <w:p>
            <w:pPr>
              <w:spacing w:before="0" w:after="0"/>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7.属于行政执法案卷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8.属于行政查询事项</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restart"/>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（四）无法提供</w:t>
            </w: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1.本机关不掌握相关政府信息</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2.没有现成信息需要另行制作</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3.补正后申请内容仍不明确</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（五）不予处理</w:t>
            </w: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1.信访举报投诉类申请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2.重复申请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3.要求提供公开出版物</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3317" w:type="dxa"/>
            <w:tcMar>
              <w:top w:w="0" w:type="dxa"/>
              <w:left w:w="57" w:type="dxa"/>
              <w:bottom w:w="0" w:type="dxa"/>
              <w:right w:w="57" w:type="dxa"/>
            </w:tcMa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4.无正当理由大量反复申请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5.要求行政机关确认或重新出具已获取信息</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restart"/>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（六）其他处理</w:t>
            </w:r>
          </w:p>
        </w:tc>
        <w:tc>
          <w:tcPr>
            <w:tcW w:w="3317" w:type="dxa"/>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1.申请人无正当理由逾期不补正、行政机关不再处理其政府信息公开申请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0"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2.申请人逾期未按收费通知要求缴纳费用、行政机关不再处理其政府信息公开申请</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lang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36" w:hRule="atLeast"/>
          <w:jc w:val="center"/>
        </w:trPr>
        <w:tc>
          <w:tcPr>
            <w:tcW w:w="1109"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1073" w:type="dxa"/>
            <w:vMerge w:val="continue"/>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3317" w:type="dxa"/>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3.其他</w:t>
            </w:r>
          </w:p>
        </w:tc>
        <w:tc>
          <w:tcPr>
            <w:tcW w:w="488" w:type="dxa"/>
            <w:tcMar>
              <w:top w:w="0" w:type="dxa"/>
              <w:left w:w="57" w:type="dxa"/>
              <w:bottom w:w="0" w:type="dxa"/>
              <w:right w:w="57"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429" w:hRule="atLeast"/>
          <w:jc w:val="center"/>
        </w:trPr>
        <w:tc>
          <w:tcPr>
            <w:tcW w:w="1109" w:type="dxa"/>
            <w:vMerge w:val="continue"/>
            <w:vAlign w:val="center"/>
          </w:tcPr>
          <w:p>
            <w:pPr>
              <w:rPr>
                <w:rFonts w:ascii="BatangChe" w:hAnsi="BatangChe" w:eastAsia="宋体" w:cs="宋体"/>
                <w:color w:val="000000" w:themeColor="text1"/>
                <w:sz w:val="21"/>
                <w:szCs w:val="21"/>
                <w14:textFill>
                  <w14:solidFill>
                    <w14:schemeClr w14:val="tx1"/>
                  </w14:solidFill>
                </w14:textFill>
              </w:rPr>
            </w:pPr>
          </w:p>
        </w:tc>
        <w:tc>
          <w:tcPr>
            <w:tcW w:w="4390" w:type="dxa"/>
            <w:gridSpan w:val="2"/>
            <w:tcMar>
              <w:top w:w="0" w:type="dxa"/>
              <w:left w:w="57" w:type="dxa"/>
              <w:bottom w:w="0" w:type="dxa"/>
              <w:right w:w="57" w:type="dxa"/>
            </w:tcMar>
            <w:vAlign w:val="center"/>
          </w:tcPr>
          <w:p>
            <w:pPr>
              <w:rPr>
                <w:rFonts w:ascii="BatangChe" w:hAnsi="BatangChe" w:eastAsia="宋体" w:cs="宋体"/>
                <w:color w:val="000000" w:themeColor="text1"/>
                <w:sz w:val="21"/>
                <w:szCs w:val="21"/>
                <w14:textFill>
                  <w14:solidFill>
                    <w14:schemeClr w14:val="tx1"/>
                  </w14:solidFill>
                </w14:textFill>
              </w:rPr>
            </w:pPr>
            <w:r>
              <w:rPr>
                <w:rFonts w:ascii="BatangChe" w:hAnsi="BatangChe" w:eastAsia="宋体" w:cs="宋体"/>
                <w:color w:val="000000" w:themeColor="text1"/>
                <w:sz w:val="21"/>
                <w:szCs w:val="21"/>
                <w14:textFill>
                  <w14:solidFill>
                    <w14:schemeClr w14:val="tx1"/>
                  </w14:solidFill>
                </w14:textFill>
              </w:rPr>
              <w:t>（七）总计</w:t>
            </w:r>
          </w:p>
        </w:tc>
        <w:tc>
          <w:tcPr>
            <w:tcW w:w="488" w:type="dxa"/>
            <w:tcMar>
              <w:top w:w="0" w:type="dxa"/>
              <w:left w:w="57" w:type="dxa"/>
              <w:bottom w:w="0" w:type="dxa"/>
              <w:right w:w="57" w:type="dxa"/>
            </w:tcMar>
            <w:vAlign w:val="center"/>
          </w:tcPr>
          <w:p>
            <w:pPr>
              <w:rPr>
                <w:rFonts w:hint="eastAsia" w:ascii="BatangChe" w:hAnsi="BatangChe" w:eastAsia="宋体" w:cs="宋体"/>
                <w:color w:val="000000" w:themeColor="text1"/>
                <w:sz w:val="21"/>
                <w:szCs w:val="21"/>
                <w:lang w:val="en-US" w:eastAsia="zh-CN"/>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2</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735"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vAlign w:val="cente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0</w:t>
            </w:r>
          </w:p>
        </w:tc>
        <w:tc>
          <w:tcPr>
            <w:tcW w:w="406" w:type="dxa"/>
            <w:tcMar>
              <w:top w:w="0" w:type="dxa"/>
              <w:left w:w="57" w:type="dxa"/>
              <w:bottom w:w="0" w:type="dxa"/>
              <w:right w:w="57" w:type="dxa"/>
            </w:tcMar>
          </w:tcPr>
          <w:p>
            <w:pPr>
              <w:rPr>
                <w:rFonts w:hint="eastAsia" w:ascii="BatangChe" w:hAnsi="BatangChe" w:eastAsia="宋体"/>
                <w:color w:val="000000" w:themeColor="text1"/>
                <w:sz w:val="21"/>
                <w:szCs w:val="21"/>
                <w:lang w:val="en-US" w:eastAsia="zh-CN"/>
                <w14:textFill>
                  <w14:solidFill>
                    <w14:schemeClr w14:val="tx1"/>
                  </w14:solidFill>
                </w14:textFill>
              </w:rPr>
            </w:pPr>
            <w:r>
              <w:rPr>
                <w:rFonts w:hint="eastAsia" w:ascii="BatangChe" w:hAnsi="BatangChe" w:eastAsia="宋体"/>
                <w:color w:val="000000" w:themeColor="text1"/>
                <w:sz w:val="21"/>
                <w:szCs w:val="21"/>
                <w:lang w:val="en-US" w:eastAsia="zh-CN"/>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5499" w:type="dxa"/>
            <w:gridSpan w:val="3"/>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r>
              <w:rPr>
                <w:rFonts w:ascii="BatangChe" w:hAnsi="BatangChe" w:eastAsia="宋体" w:cs="宋体"/>
                <w:color w:val="000000" w:themeColor="text1"/>
                <w:sz w:val="21"/>
                <w:szCs w:val="21"/>
                <w:lang w:eastAsia="zh-CN"/>
                <w14:textFill>
                  <w14:solidFill>
                    <w14:schemeClr w14:val="tx1"/>
                  </w14:solidFill>
                </w14:textFill>
              </w:rPr>
              <w:t>四、结转下年度继续办理</w:t>
            </w:r>
          </w:p>
        </w:tc>
        <w:tc>
          <w:tcPr>
            <w:tcW w:w="488" w:type="dxa"/>
            <w:tcMar>
              <w:top w:w="0" w:type="dxa"/>
              <w:left w:w="57" w:type="dxa"/>
              <w:bottom w:w="0" w:type="dxa"/>
              <w:right w:w="57" w:type="dxa"/>
            </w:tcMar>
            <w:vAlign w:val="center"/>
          </w:tcPr>
          <w:p>
            <w:pPr>
              <w:rPr>
                <w:rFonts w:ascii="BatangChe" w:hAnsi="BatangChe" w:eastAsia="宋体" w:cs="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pPr>
              <w:rPr>
                <w:rFonts w:ascii="BatangChe" w:hAnsi="BatangChe" w:eastAsia="宋体"/>
                <w:color w:val="000000" w:themeColor="text1"/>
                <w:sz w:val="21"/>
                <w:szCs w:val="21"/>
                <w:lang w:eastAsia="zh-CN"/>
                <w14:textFill>
                  <w14:solidFill>
                    <w14:schemeClr w14:val="tx1"/>
                  </w14:solidFill>
                </w14:textFill>
              </w:rPr>
            </w:pPr>
          </w:p>
        </w:tc>
        <w:tc>
          <w:tcPr>
            <w:tcW w:w="735" w:type="dxa"/>
            <w:tcMar>
              <w:top w:w="0" w:type="dxa"/>
              <w:left w:w="57" w:type="dxa"/>
              <w:bottom w:w="0" w:type="dxa"/>
              <w:right w:w="57" w:type="dxa"/>
            </w:tcMar>
            <w:vAlign w:val="center"/>
          </w:tcPr>
          <w:p>
            <w:pPr>
              <w:spacing w:before="0" w:after="0"/>
              <w:rPr>
                <w:rFonts w:ascii="BatangChe" w:hAnsi="BatangChe" w:eastAsia="宋体"/>
                <w:color w:val="000000" w:themeColor="text1"/>
                <w:sz w:val="21"/>
                <w:szCs w:val="21"/>
                <w:lang w:eastAsia="zh-CN"/>
                <w14:textFill>
                  <w14:solidFill>
                    <w14:schemeClr w14:val="tx1"/>
                  </w14:solidFill>
                </w14:textFill>
              </w:rPr>
            </w:pPr>
          </w:p>
        </w:tc>
        <w:tc>
          <w:tcPr>
            <w:tcW w:w="735" w:type="dxa"/>
            <w:tcMar>
              <w:top w:w="0" w:type="dxa"/>
              <w:left w:w="57" w:type="dxa"/>
              <w:bottom w:w="0" w:type="dxa"/>
              <w:right w:w="57" w:type="dxa"/>
            </w:tcMar>
            <w:vAlign w:val="center"/>
          </w:tcPr>
          <w:p>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vAlign w:val="center"/>
          </w:tcPr>
          <w:p>
            <w:pPr>
              <w:rPr>
                <w:rFonts w:ascii="BatangChe" w:hAnsi="BatangChe" w:eastAsia="宋体"/>
                <w:color w:val="000000" w:themeColor="text1"/>
                <w:sz w:val="21"/>
                <w:szCs w:val="21"/>
                <w:lang w:eastAsia="zh-CN"/>
                <w14:textFill>
                  <w14:solidFill>
                    <w14:schemeClr w14:val="tx1"/>
                  </w14:solidFill>
                </w14:textFill>
              </w:rPr>
            </w:pPr>
          </w:p>
        </w:tc>
        <w:tc>
          <w:tcPr>
            <w:tcW w:w="406" w:type="dxa"/>
            <w:tcMar>
              <w:top w:w="0" w:type="dxa"/>
              <w:left w:w="57" w:type="dxa"/>
              <w:bottom w:w="0" w:type="dxa"/>
              <w:right w:w="57" w:type="dxa"/>
            </w:tcMar>
          </w:tcPr>
          <w:p>
            <w:pPr>
              <w:rPr>
                <w:rFonts w:ascii="BatangChe" w:hAnsi="BatangChe" w:eastAsia="宋体"/>
                <w:color w:val="000000" w:themeColor="text1"/>
                <w:sz w:val="21"/>
                <w:szCs w:val="21"/>
                <w:lang w:eastAsia="zh-CN"/>
                <w14:textFill>
                  <w14:solidFill>
                    <w14:schemeClr w14:val="tx1"/>
                  </w14:solidFill>
                </w14:textFill>
              </w:rPr>
            </w:pPr>
          </w:p>
        </w:tc>
      </w:tr>
    </w:tbl>
    <w:p>
      <w:pPr>
        <w:shd w:val="clear" w:color="auto" w:fill="FFFFFF"/>
        <w:ind w:firstLine="480"/>
        <w:rPr>
          <w:rFonts w:ascii="BatangChe" w:hAnsi="BatangChe" w:eastAsia="黑体" w:cs="宋体"/>
          <w:bCs/>
          <w:color w:val="000000" w:themeColor="text1"/>
          <w:sz w:val="28"/>
          <w:szCs w:val="28"/>
          <w:lang w:eastAsia="zh-CN"/>
          <w14:textFill>
            <w14:solidFill>
              <w14:schemeClr w14:val="tx1"/>
            </w14:solidFill>
          </w14:textFill>
        </w:rPr>
      </w:pPr>
      <w:r>
        <w:rPr>
          <w:rFonts w:hint="eastAsia" w:ascii="BatangChe" w:hAnsi="BatangChe" w:eastAsia="黑体" w:cs="宋体"/>
          <w:bCs/>
          <w:color w:val="000000" w:themeColor="text1"/>
          <w:sz w:val="28"/>
          <w:szCs w:val="28"/>
          <w:lang w:eastAsia="zh-CN"/>
          <w14:textFill>
            <w14:solidFill>
              <w14:schemeClr w14:val="tx1"/>
            </w14:solidFill>
          </w14:textFill>
        </w:rPr>
        <w:t>四、政府信息公开行政复议、行政诉讼情况</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607"/>
        <w:gridCol w:w="607"/>
        <w:gridCol w:w="607"/>
        <w:gridCol w:w="607"/>
        <w:gridCol w:w="607"/>
        <w:gridCol w:w="606"/>
        <w:gridCol w:w="606"/>
        <w:gridCol w:w="607"/>
        <w:gridCol w:w="607"/>
        <w:gridCol w:w="607"/>
        <w:gridCol w:w="607"/>
        <w:gridCol w:w="607"/>
        <w:gridCol w:w="607"/>
        <w:gridCol w:w="607"/>
        <w:gridCol w:w="6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3035" w:type="dxa"/>
            <w:gridSpan w:val="5"/>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行政复议</w:t>
            </w:r>
          </w:p>
        </w:tc>
        <w:tc>
          <w:tcPr>
            <w:tcW w:w="6068" w:type="dxa"/>
            <w:gridSpan w:val="10"/>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行政诉讼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379" w:hRule="atLeast"/>
          <w:jc w:val="center"/>
        </w:trPr>
        <w:tc>
          <w:tcPr>
            <w:tcW w:w="607" w:type="dxa"/>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结果维持</w:t>
            </w:r>
          </w:p>
        </w:tc>
        <w:tc>
          <w:tcPr>
            <w:tcW w:w="607" w:type="dxa"/>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vMerge w:val="restart"/>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3033" w:type="dxa"/>
            <w:gridSpan w:val="5"/>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未经复议直接起诉</w:t>
            </w:r>
          </w:p>
        </w:tc>
        <w:tc>
          <w:tcPr>
            <w:tcW w:w="3035" w:type="dxa"/>
            <w:gridSpan w:val="5"/>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复议后起诉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02" w:hRule="atLeast"/>
          <w:jc w:val="center"/>
        </w:trPr>
        <w:tc>
          <w:tcPr>
            <w:tcW w:w="607"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607" w:type="dxa"/>
            <w:vMerge w:val="continue"/>
            <w:vAlign w:val="center"/>
          </w:tcPr>
          <w:p>
            <w:pPr>
              <w:jc w:val="center"/>
              <w:rPr>
                <w:rFonts w:ascii="BatangChe" w:hAnsi="BatangChe" w:eastAsia="黑体" w:cs="宋体"/>
                <w:color w:val="000000" w:themeColor="text1"/>
                <w:sz w:val="21"/>
                <w:szCs w:val="21"/>
                <w14:textFill>
                  <w14:solidFill>
                    <w14:schemeClr w14:val="tx1"/>
                  </w14:solidFill>
                </w14:textFill>
              </w:rPr>
            </w:pPr>
          </w:p>
        </w:tc>
        <w:tc>
          <w:tcPr>
            <w:tcW w:w="606"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6"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维持</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纠正</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其他</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结果</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lang w:eastAsia="zh-CN"/>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尚未</w:t>
            </w:r>
          </w:p>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审结</w:t>
            </w:r>
          </w:p>
        </w:tc>
        <w:tc>
          <w:tcPr>
            <w:tcW w:w="607" w:type="dxa"/>
            <w:tcMar>
              <w:top w:w="0" w:type="dxa"/>
              <w:left w:w="108" w:type="dxa"/>
              <w:bottom w:w="0" w:type="dxa"/>
              <w:right w:w="108" w:type="dxa"/>
            </w:tcMar>
            <w:vAlign w:val="center"/>
          </w:tcPr>
          <w:p>
            <w:pPr>
              <w:jc w:val="center"/>
              <w:rPr>
                <w:rFonts w:ascii="BatangChe" w:hAnsi="BatangChe" w:eastAsia="黑体" w:cs="宋体"/>
                <w:color w:val="000000" w:themeColor="text1"/>
                <w:sz w:val="21"/>
                <w:szCs w:val="21"/>
                <w14:textFill>
                  <w14:solidFill>
                    <w14:schemeClr w14:val="tx1"/>
                  </w14:solidFill>
                </w14:textFill>
              </w:rPr>
            </w:pPr>
            <w:r>
              <w:rPr>
                <w:rFonts w:ascii="BatangChe" w:hAnsi="BatangChe" w:eastAsia="黑体" w:cs="宋体"/>
                <w:color w:val="000000" w:themeColor="text1"/>
                <w:sz w:val="21"/>
                <w:szCs w:val="21"/>
                <w14:textFill>
                  <w14:solidFill>
                    <w14:schemeClr w14:val="tx1"/>
                  </w14:solidFill>
                </w14:textFill>
              </w:rPr>
              <w:t>总计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942" w:hRule="atLeast"/>
          <w:jc w:val="center"/>
        </w:trPr>
        <w:tc>
          <w:tcPr>
            <w:tcW w:w="607" w:type="dxa"/>
            <w:tcMar>
              <w:top w:w="0" w:type="dxa"/>
              <w:left w:w="108" w:type="dxa"/>
              <w:bottom w:w="0" w:type="dxa"/>
              <w:right w:w="108" w:type="dxa"/>
            </w:tcMar>
            <w:vAlign w:val="top"/>
          </w:tcPr>
          <w:p>
            <w:pPr>
              <w:rPr>
                <w:rFonts w:ascii="BatangChe" w:hAnsi="BatangChe" w:eastAsia="宋体" w:cs="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6"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c>
          <w:tcPr>
            <w:tcW w:w="607" w:type="dxa"/>
            <w:tcMar>
              <w:top w:w="0" w:type="dxa"/>
              <w:left w:w="108" w:type="dxa"/>
              <w:bottom w:w="0" w:type="dxa"/>
              <w:right w:w="108" w:type="dxa"/>
            </w:tcMar>
            <w:vAlign w:val="top"/>
          </w:tcPr>
          <w:p>
            <w:pPr>
              <w:rPr>
                <w:rFonts w:ascii="BatangChe" w:hAnsi="BatangChe" w:eastAsia="宋体"/>
                <w:color w:val="000000" w:themeColor="text1"/>
                <w:sz w:val="21"/>
                <w:szCs w:val="21"/>
                <w14:textFill>
                  <w14:solidFill>
                    <w14:schemeClr w14:val="tx1"/>
                  </w14:solidFill>
                </w14:textFill>
              </w:rPr>
            </w:pPr>
            <w:r>
              <w:rPr>
                <w:rFonts w:hint="eastAsia" w:ascii="BatangChe" w:hAnsi="BatangChe" w:eastAsia="宋体" w:cs="宋体"/>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2023</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示范区发改局圆满完成了政府</w:t>
      </w:r>
      <w:r>
        <w:rPr>
          <w:rFonts w:ascii="Times New Roman" w:hAnsi="Times New Roman" w:eastAsia="仿宋_GB2312" w:cs="Times New Roman"/>
          <w:color w:val="000000"/>
          <w:sz w:val="32"/>
          <w:szCs w:val="32"/>
        </w:rPr>
        <w:t>信息公开</w:t>
      </w:r>
      <w:r>
        <w:rPr>
          <w:rFonts w:hint="eastAsia" w:ascii="Times New Roman" w:hAnsi="Times New Roman" w:eastAsia="仿宋_GB2312" w:cs="Times New Roman"/>
          <w:color w:val="000000"/>
          <w:sz w:val="32"/>
          <w:szCs w:val="32"/>
          <w:lang w:eastAsia="zh-CN"/>
        </w:rPr>
        <w:t>各项工作任务，</w:t>
      </w:r>
      <w:r>
        <w:rPr>
          <w:rFonts w:ascii="Times New Roman" w:hAnsi="Times New Roman" w:eastAsia="仿宋_GB2312" w:cs="Times New Roman"/>
          <w:color w:val="000000"/>
          <w:sz w:val="32"/>
          <w:szCs w:val="32"/>
        </w:rPr>
        <w:t>但对照新形势下群众新需求、百姓新期待，</w:t>
      </w:r>
      <w:r>
        <w:rPr>
          <w:rFonts w:hint="eastAsia" w:ascii="Times New Roman" w:hAnsi="Times New Roman" w:eastAsia="仿宋_GB2312" w:cs="Times New Roman"/>
          <w:color w:val="000000"/>
          <w:sz w:val="32"/>
          <w:szCs w:val="32"/>
          <w:lang w:val="en-US" w:eastAsia="zh-CN"/>
        </w:rPr>
        <w:t>以及</w:t>
      </w:r>
      <w:r>
        <w:rPr>
          <w:rFonts w:ascii="Times New Roman" w:hAnsi="Times New Roman" w:eastAsia="仿宋_GB2312" w:cs="Times New Roman"/>
          <w:color w:val="000000"/>
          <w:sz w:val="32"/>
          <w:szCs w:val="32"/>
        </w:rPr>
        <w:t>高标准建设、高质量公开还有</w:t>
      </w:r>
      <w:r>
        <w:rPr>
          <w:rFonts w:hint="eastAsia" w:ascii="Times New Roman" w:hAnsi="Times New Roman" w:eastAsia="仿宋_GB2312" w:cs="Times New Roman"/>
          <w:color w:val="000000"/>
          <w:sz w:val="32"/>
          <w:szCs w:val="32"/>
          <w:lang w:eastAsia="zh-CN"/>
        </w:rPr>
        <w:t>一定</w:t>
      </w:r>
      <w:r>
        <w:rPr>
          <w:rFonts w:ascii="Times New Roman" w:hAnsi="Times New Roman" w:eastAsia="仿宋_GB2312" w:cs="Times New Roman"/>
          <w:color w:val="000000"/>
          <w:sz w:val="32"/>
          <w:szCs w:val="32"/>
        </w:rPr>
        <w:t>差距，主要表现在</w:t>
      </w:r>
      <w:r>
        <w:rPr>
          <w:rFonts w:hint="eastAsia" w:ascii="Times New Roman" w:hAnsi="Times New Roman" w:eastAsia="仿宋_GB2312" w:cs="Times New Roman"/>
          <w:color w:val="000000"/>
          <w:sz w:val="32"/>
          <w:szCs w:val="32"/>
          <w:lang w:eastAsia="zh-CN"/>
        </w:rPr>
        <w:t>两</w:t>
      </w:r>
      <w:r>
        <w:rPr>
          <w:rFonts w:ascii="Times New Roman" w:hAnsi="Times New Roman" w:eastAsia="仿宋_GB2312" w:cs="Times New Roman"/>
          <w:color w:val="000000"/>
          <w:sz w:val="32"/>
          <w:szCs w:val="32"/>
        </w:rPr>
        <w:t>个方面：</w:t>
      </w:r>
      <w:r>
        <w:rPr>
          <w:rFonts w:ascii="Times New Roman" w:hAnsi="Times New Roman" w:eastAsia="仿宋_GB2312" w:cs="Times New Roman"/>
          <w:b/>
          <w:color w:val="000000"/>
          <w:sz w:val="32"/>
          <w:szCs w:val="32"/>
        </w:rPr>
        <w:t>一</w:t>
      </w:r>
      <w:r>
        <w:rPr>
          <w:rFonts w:hint="eastAsia" w:ascii="Times New Roman" w:hAnsi="Times New Roman" w:eastAsia="仿宋_GB2312" w:cs="Times New Roman"/>
          <w:b/>
          <w:color w:val="000000"/>
          <w:sz w:val="32"/>
          <w:szCs w:val="32"/>
        </w:rPr>
        <w:t>是</w:t>
      </w:r>
      <w:r>
        <w:rPr>
          <w:rFonts w:hint="eastAsia" w:ascii="Times New Roman" w:hAnsi="Times New Roman" w:eastAsia="仿宋_GB2312" w:cs="Times New Roman"/>
          <w:color w:val="000000"/>
          <w:sz w:val="32"/>
          <w:szCs w:val="32"/>
          <w:lang w:val="en-US" w:eastAsia="zh-CN"/>
        </w:rPr>
        <w:t>网站平台</w:t>
      </w:r>
      <w:r>
        <w:rPr>
          <w:rFonts w:hint="eastAsia" w:ascii="Times New Roman" w:hAnsi="Times New Roman" w:eastAsia="仿宋_GB2312" w:cs="Times New Roman"/>
          <w:color w:val="000000"/>
          <w:sz w:val="32"/>
          <w:szCs w:val="32"/>
        </w:rPr>
        <w:t>的建设有待加强</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创新栏目版块较少。</w:t>
      </w:r>
      <w:r>
        <w:rPr>
          <w:rFonts w:hint="eastAsia" w:ascii="Times New Roman" w:hAnsi="Times New Roman" w:eastAsia="仿宋_GB2312" w:cs="Times New Roman"/>
          <w:b/>
          <w:color w:val="000000"/>
          <w:sz w:val="32"/>
          <w:szCs w:val="32"/>
          <w:lang w:val="en-US" w:eastAsia="zh-CN"/>
        </w:rPr>
        <w:t>二</w:t>
      </w:r>
      <w:r>
        <w:rPr>
          <w:rFonts w:hint="eastAsia" w:ascii="Times New Roman" w:hAnsi="Times New Roman" w:eastAsia="仿宋_GB2312" w:cs="Times New Roman"/>
          <w:b/>
          <w:color w:val="000000"/>
          <w:sz w:val="32"/>
          <w:szCs w:val="32"/>
        </w:rPr>
        <w:t>是</w:t>
      </w:r>
      <w:r>
        <w:rPr>
          <w:rFonts w:hint="eastAsia" w:ascii="Times New Roman" w:hAnsi="Times New Roman" w:eastAsia="仿宋_GB2312" w:cs="Times New Roman"/>
          <w:b w:val="0"/>
          <w:bCs/>
          <w:color w:val="000000"/>
          <w:sz w:val="32"/>
          <w:szCs w:val="32"/>
        </w:rPr>
        <w:t>政务公开工作运转效率</w:t>
      </w:r>
      <w:r>
        <w:rPr>
          <w:rFonts w:hint="eastAsia" w:ascii="Times New Roman" w:hAnsi="Times New Roman" w:eastAsia="仿宋_GB2312" w:cs="Times New Roman"/>
          <w:b w:val="0"/>
          <w:bCs/>
          <w:color w:val="000000"/>
          <w:sz w:val="32"/>
          <w:szCs w:val="32"/>
          <w:lang w:val="en-US" w:eastAsia="zh-CN"/>
        </w:rPr>
        <w:t>有待提高</w:t>
      </w:r>
      <w:r>
        <w:rPr>
          <w:rFonts w:hint="eastAsia" w:ascii="Times New Roman" w:hAnsi="Times New Roman" w:eastAsia="仿宋_GB2312" w:cs="Times New Roman"/>
          <w:b w:val="0"/>
          <w:bCs/>
          <w:color w:val="000000"/>
          <w:sz w:val="32"/>
          <w:szCs w:val="32"/>
        </w:rPr>
        <w:t>、工作体系和制度</w:t>
      </w:r>
      <w:r>
        <w:rPr>
          <w:rFonts w:hint="eastAsia" w:ascii="Times New Roman" w:hAnsi="Times New Roman" w:eastAsia="仿宋_GB2312" w:cs="Times New Roman"/>
          <w:b w:val="0"/>
          <w:bCs/>
          <w:color w:val="000000"/>
          <w:sz w:val="32"/>
          <w:szCs w:val="32"/>
          <w:lang w:val="en-US" w:eastAsia="zh-CN"/>
        </w:rPr>
        <w:t>还需</w:t>
      </w:r>
      <w:r>
        <w:rPr>
          <w:rFonts w:hint="eastAsia" w:ascii="Times New Roman" w:hAnsi="Times New Roman" w:eastAsia="仿宋_GB2312" w:cs="Times New Roman"/>
          <w:b w:val="0"/>
          <w:bCs/>
          <w:color w:val="000000"/>
          <w:sz w:val="32"/>
          <w:szCs w:val="32"/>
        </w:rPr>
        <w:t>进一步健全完善。</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示范区发改局</w:t>
      </w:r>
      <w:r>
        <w:rPr>
          <w:rFonts w:ascii="Times New Roman" w:hAnsi="Times New Roman" w:eastAsia="仿宋_GB2312" w:cs="Times New Roman"/>
          <w:color w:val="000000"/>
          <w:sz w:val="32"/>
          <w:szCs w:val="32"/>
        </w:rPr>
        <w:t>将继续按照</w:t>
      </w:r>
      <w:r>
        <w:rPr>
          <w:rFonts w:hint="eastAsia" w:ascii="Times New Roman" w:hAnsi="Times New Roman" w:eastAsia="仿宋_GB2312" w:cs="Times New Roman"/>
          <w:color w:val="000000"/>
          <w:sz w:val="32"/>
          <w:szCs w:val="32"/>
          <w:lang w:eastAsia="zh-CN"/>
        </w:rPr>
        <w:t>党工委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管委会</w:t>
      </w:r>
      <w:r>
        <w:rPr>
          <w:rFonts w:ascii="Times New Roman" w:hAnsi="Times New Roman" w:eastAsia="仿宋_GB2312" w:cs="Times New Roman"/>
          <w:color w:val="000000"/>
          <w:sz w:val="32"/>
          <w:szCs w:val="32"/>
        </w:rPr>
        <w:t>的安排部署，</w:t>
      </w:r>
      <w:r>
        <w:rPr>
          <w:rFonts w:hint="eastAsia" w:ascii="Times New Roman" w:hAnsi="Times New Roman" w:eastAsia="仿宋_GB2312" w:cs="Times New Roman"/>
          <w:color w:val="000000"/>
          <w:sz w:val="32"/>
          <w:szCs w:val="32"/>
        </w:rPr>
        <w:t>深入推进政府信息公开，全力打造透明政府、法治政府和服务型政府</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主要从以下</w:t>
      </w:r>
      <w:r>
        <w:rPr>
          <w:rFonts w:hint="eastAsia" w:ascii="Times New Roman" w:hAnsi="Times New Roman" w:eastAsia="仿宋_GB2312" w:cs="Times New Roman"/>
          <w:color w:val="000000"/>
          <w:sz w:val="32"/>
          <w:szCs w:val="32"/>
          <w:lang w:eastAsia="zh-CN"/>
        </w:rPr>
        <w:t>三</w:t>
      </w:r>
      <w:r>
        <w:rPr>
          <w:rFonts w:ascii="Times New Roman" w:hAnsi="Times New Roman" w:eastAsia="仿宋_GB2312" w:cs="Times New Roman"/>
          <w:color w:val="000000"/>
          <w:sz w:val="32"/>
          <w:szCs w:val="32"/>
        </w:rPr>
        <w:t>个方面加以改进：</w:t>
      </w:r>
    </w:p>
    <w:p>
      <w:pPr>
        <w:keepNext w:val="0"/>
        <w:keepLines w:val="0"/>
        <w:pageBreakBefore w:val="0"/>
        <w:widowControl w:val="0"/>
        <w:kinsoku/>
        <w:wordWrap/>
        <w:overflowPunct/>
        <w:topLinePunct w:val="0"/>
        <w:autoSpaceDE/>
        <w:autoSpaceDN/>
        <w:bidi w:val="0"/>
        <w:adjustRightInd/>
        <w:snapToGrid/>
        <w:spacing w:line="576" w:lineRule="atLeast"/>
        <w:ind w:firstLine="643"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b/>
          <w:bCs w:val="0"/>
          <w:color w:val="000000"/>
          <w:sz w:val="32"/>
          <w:szCs w:val="32"/>
        </w:rPr>
        <w:t>一是进一步加强信息公开管理</w:t>
      </w:r>
      <w:r>
        <w:rPr>
          <w:rFonts w:ascii="Times New Roman" w:hAnsi="Times New Roman" w:eastAsia="仿宋_GB2312" w:cs="Times New Roman"/>
          <w:b/>
          <w:bCs w:val="0"/>
          <w:color w:val="000000"/>
          <w:sz w:val="32"/>
          <w:szCs w:val="32"/>
        </w:rPr>
        <w:t>。</w:t>
      </w:r>
      <w:r>
        <w:rPr>
          <w:rFonts w:ascii="Times New Roman" w:hAnsi="Times New Roman" w:eastAsia="仿宋_GB2312" w:cs="Times New Roman"/>
          <w:color w:val="000000"/>
          <w:sz w:val="32"/>
          <w:szCs w:val="32"/>
        </w:rPr>
        <w:t>聚焦社会影响力大、群众关注度高、涉及公共利益深等政府信息，进一步健全政府信息公开目录，持续深化政府信息公开内容细则。针对政策性强、专业性强、涉及面广的政府信息，加强宣传普及，深入全面解读，进一步提升信息公开透明度。</w:t>
      </w:r>
    </w:p>
    <w:p>
      <w:pPr>
        <w:keepNext w:val="0"/>
        <w:keepLines w:val="0"/>
        <w:pageBreakBefore w:val="0"/>
        <w:widowControl w:val="0"/>
        <w:kinsoku/>
        <w:wordWrap/>
        <w:overflowPunct/>
        <w:topLinePunct w:val="0"/>
        <w:autoSpaceDE/>
        <w:autoSpaceDN/>
        <w:bidi w:val="0"/>
        <w:adjustRightInd/>
        <w:snapToGrid/>
        <w:spacing w:line="576" w:lineRule="atLeast"/>
        <w:ind w:firstLine="643" w:firstLineChars="200"/>
        <w:textAlignment w:val="auto"/>
        <w:rPr>
          <w:rFonts w:ascii="Times New Roman" w:hAnsi="Times New Roman" w:eastAsia="仿宋_GB2312" w:cs="Times New Roman"/>
          <w:color w:val="000000"/>
          <w:sz w:val="32"/>
          <w:szCs w:val="32"/>
        </w:rPr>
      </w:pPr>
      <w:r>
        <w:rPr>
          <w:rFonts w:hint="eastAsia" w:ascii="Times New Roman" w:hAnsi="Times New Roman" w:eastAsia="楷体_GB2312" w:cs="Times New Roman"/>
          <w:b/>
          <w:bCs w:val="0"/>
          <w:color w:val="000000"/>
          <w:sz w:val="32"/>
          <w:szCs w:val="32"/>
          <w:lang w:eastAsia="zh-CN"/>
        </w:rPr>
        <w:t>二</w:t>
      </w:r>
      <w:r>
        <w:rPr>
          <w:rFonts w:ascii="Times New Roman" w:hAnsi="Times New Roman" w:eastAsia="楷体_GB2312" w:cs="Times New Roman"/>
          <w:b/>
          <w:bCs w:val="0"/>
          <w:color w:val="000000"/>
          <w:sz w:val="32"/>
          <w:szCs w:val="32"/>
        </w:rPr>
        <w:t>是进一步完善监督管理机制</w:t>
      </w:r>
      <w:r>
        <w:rPr>
          <w:rFonts w:ascii="Times New Roman" w:hAnsi="Times New Roman" w:eastAsia="仿宋_GB2312" w:cs="Times New Roman"/>
          <w:b/>
          <w:bCs w:val="0"/>
          <w:color w:val="000000"/>
          <w:sz w:val="32"/>
          <w:szCs w:val="32"/>
        </w:rPr>
        <w:t>。</w:t>
      </w:r>
      <w:r>
        <w:rPr>
          <w:rFonts w:hint="eastAsia" w:ascii="Times New Roman" w:hAnsi="Times New Roman" w:eastAsia="仿宋_GB2312" w:cs="Times New Roman"/>
          <w:color w:val="000000"/>
          <w:sz w:val="32"/>
          <w:szCs w:val="32"/>
          <w:lang w:eastAsia="zh-CN"/>
        </w:rPr>
        <w:t>严格落实信息发布审核制度，</w:t>
      </w:r>
      <w:r>
        <w:rPr>
          <w:rFonts w:ascii="Times New Roman" w:hAnsi="Times New Roman" w:eastAsia="仿宋_GB2312" w:cs="Times New Roman"/>
          <w:color w:val="000000"/>
          <w:sz w:val="32"/>
          <w:szCs w:val="32"/>
        </w:rPr>
        <w:t>坚持“谁提供、谁负责”“先审查、后公开”</w:t>
      </w:r>
      <w:r>
        <w:rPr>
          <w:rFonts w:hint="eastAsia" w:ascii="Times New Roman" w:hAnsi="Times New Roman" w:eastAsia="仿宋_GB2312" w:cs="Times New Roman"/>
          <w:color w:val="000000"/>
          <w:sz w:val="32"/>
          <w:szCs w:val="32"/>
          <w:lang w:eastAsia="zh-CN"/>
        </w:rPr>
        <w:t>的原则</w:t>
      </w:r>
      <w:r>
        <w:rPr>
          <w:rFonts w:ascii="Times New Roman" w:hAnsi="Times New Roman" w:eastAsia="仿宋_GB2312" w:cs="Times New Roman"/>
          <w:color w:val="000000"/>
          <w:sz w:val="32"/>
          <w:szCs w:val="32"/>
        </w:rPr>
        <w:t>，进一步规范信息公开管理流程，确保政务信息公开内容真实可靠</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数据“统得出、报得准、可核查”，符合保密要求。</w:t>
      </w:r>
    </w:p>
    <w:p>
      <w:pPr>
        <w:keepNext w:val="0"/>
        <w:keepLines w:val="0"/>
        <w:pageBreakBefore w:val="0"/>
        <w:widowControl w:val="0"/>
        <w:kinsoku/>
        <w:wordWrap/>
        <w:overflowPunct/>
        <w:topLinePunct w:val="0"/>
        <w:autoSpaceDE/>
        <w:autoSpaceDN/>
        <w:bidi w:val="0"/>
        <w:adjustRightInd/>
        <w:snapToGrid/>
        <w:spacing w:line="576" w:lineRule="atLeast"/>
        <w:ind w:firstLine="643" w:firstLineChars="200"/>
        <w:textAlignment w:val="auto"/>
        <w:rPr>
          <w:rFonts w:ascii="Times New Roman" w:hAnsi="Times New Roman" w:eastAsia="仿宋_GB2312" w:cs="Times New Roman"/>
          <w:color w:val="000000"/>
          <w:sz w:val="32"/>
          <w:szCs w:val="32"/>
        </w:rPr>
      </w:pPr>
      <w:r>
        <w:rPr>
          <w:rFonts w:hint="eastAsia" w:ascii="Times New Roman" w:hAnsi="Times New Roman" w:eastAsia="楷体_GB2312" w:cs="Times New Roman"/>
          <w:b/>
          <w:bCs w:val="0"/>
          <w:color w:val="000000"/>
          <w:sz w:val="32"/>
          <w:szCs w:val="32"/>
          <w:lang w:eastAsia="zh-CN"/>
        </w:rPr>
        <w:t>三</w:t>
      </w:r>
      <w:r>
        <w:rPr>
          <w:rFonts w:ascii="Times New Roman" w:hAnsi="Times New Roman" w:eastAsia="楷体_GB2312" w:cs="Times New Roman"/>
          <w:b/>
          <w:bCs w:val="0"/>
          <w:color w:val="000000"/>
          <w:sz w:val="32"/>
          <w:szCs w:val="32"/>
        </w:rPr>
        <w:t>是进一步创新信息公开形式</w:t>
      </w:r>
      <w:r>
        <w:rPr>
          <w:rFonts w:ascii="Times New Roman" w:hAnsi="Times New Roman" w:eastAsia="仿宋_GB2312" w:cs="Times New Roman"/>
          <w:b/>
          <w:bCs w:val="0"/>
          <w:color w:val="000000"/>
          <w:sz w:val="32"/>
          <w:szCs w:val="32"/>
        </w:rPr>
        <w:t>。</w:t>
      </w:r>
      <w:r>
        <w:rPr>
          <w:rFonts w:ascii="Times New Roman" w:hAnsi="Times New Roman" w:eastAsia="仿宋_GB2312" w:cs="Times New Roman"/>
          <w:color w:val="000000"/>
          <w:sz w:val="32"/>
          <w:szCs w:val="32"/>
        </w:rPr>
        <w:t>围绕大力推进经济</w:t>
      </w:r>
      <w:r>
        <w:rPr>
          <w:rFonts w:hint="eastAsia" w:ascii="Times New Roman" w:hAnsi="Times New Roman" w:eastAsia="仿宋_GB2312" w:cs="Times New Roman"/>
          <w:color w:val="000000"/>
          <w:sz w:val="32"/>
          <w:szCs w:val="32"/>
          <w:lang w:val="en-US" w:eastAsia="zh-CN"/>
        </w:rPr>
        <w:t>高质量发展</w:t>
      </w:r>
      <w:r>
        <w:rPr>
          <w:rFonts w:ascii="Times New Roman" w:hAnsi="Times New Roman" w:eastAsia="仿宋_GB2312" w:cs="Times New Roman"/>
          <w:color w:val="000000"/>
          <w:sz w:val="32"/>
          <w:szCs w:val="32"/>
        </w:rPr>
        <w:t>、经济体制改革、</w:t>
      </w:r>
      <w:r>
        <w:rPr>
          <w:rFonts w:hint="eastAsia" w:ascii="Times New Roman" w:hAnsi="Times New Roman" w:eastAsia="仿宋_GB2312" w:cs="Times New Roman"/>
          <w:color w:val="000000"/>
          <w:sz w:val="32"/>
          <w:szCs w:val="32"/>
          <w:lang w:eastAsia="zh-CN"/>
        </w:rPr>
        <w:t>现代</w:t>
      </w:r>
      <w:r>
        <w:rPr>
          <w:rFonts w:ascii="Times New Roman" w:hAnsi="Times New Roman" w:eastAsia="仿宋_GB2312" w:cs="Times New Roman"/>
          <w:color w:val="000000"/>
          <w:sz w:val="32"/>
          <w:szCs w:val="32"/>
        </w:rPr>
        <w:t>产业</w:t>
      </w:r>
      <w:r>
        <w:rPr>
          <w:rFonts w:hint="eastAsia" w:ascii="Times New Roman" w:hAnsi="Times New Roman" w:eastAsia="仿宋_GB2312" w:cs="Times New Roman"/>
          <w:color w:val="000000"/>
          <w:sz w:val="32"/>
          <w:szCs w:val="32"/>
          <w:lang w:eastAsia="zh-CN"/>
        </w:rPr>
        <w:t>体系建设</w:t>
      </w:r>
      <w:r>
        <w:rPr>
          <w:rFonts w:ascii="Times New Roman" w:hAnsi="Times New Roman" w:eastAsia="仿宋_GB2312" w:cs="Times New Roman"/>
          <w:color w:val="000000"/>
          <w:sz w:val="32"/>
          <w:szCs w:val="32"/>
        </w:rPr>
        <w:t>、区域经济发展以及物价、粮食等重点领域，主动策划推出一批高质量、高水平的新栏目、新专题。充分利用好门户网站，做好与“</w:t>
      </w:r>
      <w:r>
        <w:rPr>
          <w:rFonts w:hint="eastAsia" w:ascii="Times New Roman" w:hAnsi="Times New Roman" w:eastAsia="仿宋_GB2312" w:cs="Times New Roman"/>
          <w:color w:val="000000"/>
          <w:sz w:val="32"/>
          <w:szCs w:val="32"/>
          <w:lang w:eastAsia="zh-CN"/>
        </w:rPr>
        <w:t>示范区</w:t>
      </w:r>
      <w:r>
        <w:rPr>
          <w:rFonts w:ascii="Times New Roman" w:hAnsi="Times New Roman" w:eastAsia="仿宋_GB2312" w:cs="Times New Roman"/>
          <w:color w:val="000000"/>
          <w:sz w:val="32"/>
          <w:szCs w:val="32"/>
        </w:rPr>
        <w:t>发展</w:t>
      </w:r>
      <w:r>
        <w:rPr>
          <w:rFonts w:hint="eastAsia" w:ascii="Times New Roman" w:hAnsi="Times New Roman" w:eastAsia="仿宋_GB2312" w:cs="Times New Roman"/>
          <w:color w:val="000000"/>
          <w:sz w:val="32"/>
          <w:szCs w:val="32"/>
          <w:lang w:eastAsia="zh-CN"/>
        </w:rPr>
        <w:t>和</w:t>
      </w:r>
      <w:r>
        <w:rPr>
          <w:rFonts w:ascii="Times New Roman" w:hAnsi="Times New Roman" w:eastAsia="仿宋_GB2312" w:cs="Times New Roman"/>
          <w:color w:val="000000"/>
          <w:sz w:val="32"/>
          <w:szCs w:val="32"/>
        </w:rPr>
        <w:t>改革</w:t>
      </w:r>
      <w:r>
        <w:rPr>
          <w:rFonts w:hint="eastAsia" w:ascii="Times New Roman" w:hAnsi="Times New Roman" w:eastAsia="仿宋_GB2312" w:cs="Times New Roman"/>
          <w:color w:val="000000"/>
          <w:sz w:val="32"/>
          <w:szCs w:val="32"/>
          <w:lang w:eastAsia="zh-CN"/>
        </w:rPr>
        <w:t>局</w:t>
      </w:r>
      <w:r>
        <w:rPr>
          <w:rFonts w:ascii="Times New Roman" w:hAnsi="Times New Roman" w:eastAsia="仿宋_GB2312" w:cs="Times New Roman"/>
          <w:color w:val="000000"/>
          <w:sz w:val="32"/>
          <w:szCs w:val="32"/>
        </w:rPr>
        <w:t>”微信新媒体链接互动，运用公众喜闻乐见的方式公开政府信息，进一步增强信息公开的可读性、权威性、准确性。</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六</w:t>
      </w:r>
      <w:r>
        <w:rPr>
          <w:rFonts w:ascii="Times New Roman" w:hAnsi="Times New Roman" w:eastAsia="黑体" w:cs="Times New Roman"/>
          <w:color w:val="000000"/>
          <w:sz w:val="32"/>
          <w:szCs w:val="32"/>
        </w:rPr>
        <w:t>、</w:t>
      </w:r>
      <w:r>
        <w:rPr>
          <w:rFonts w:hint="eastAsia" w:ascii="Times New Roman" w:hAnsi="Times New Roman" w:eastAsia="黑体" w:cs="Times New Roman"/>
          <w:color w:val="000000"/>
          <w:sz w:val="32"/>
          <w:szCs w:val="32"/>
          <w:lang w:val="en-US" w:eastAsia="zh-CN"/>
        </w:rPr>
        <w:t>其他需要报告的事项</w:t>
      </w: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w:t>
      </w:r>
      <w:r>
        <w:rPr>
          <w:rFonts w:hint="eastAsia" w:ascii="Times New Roman" w:hAnsi="Times New Roman" w:eastAsia="仿宋_GB2312" w:cs="Times New Roman"/>
          <w:color w:val="000000"/>
          <w:sz w:val="32"/>
          <w:szCs w:val="32"/>
          <w:lang w:val="en-US" w:eastAsia="zh-CN"/>
        </w:rPr>
        <w:t>局</w:t>
      </w:r>
      <w:r>
        <w:rPr>
          <w:rFonts w:hint="eastAsia" w:ascii="Times New Roman" w:hAnsi="Times New Roman" w:eastAsia="仿宋_GB2312" w:cs="Times New Roman"/>
          <w:color w:val="000000"/>
          <w:sz w:val="32"/>
          <w:szCs w:val="32"/>
        </w:rPr>
        <w:t>依据《政府信息公开信息处理费管理办法》，未出现因申请人在申请公开政府信息超出一定数量或者频次范围而收取信息处理费的情况。无其他需要报告的事项。</w:t>
      </w:r>
    </w:p>
    <w:p>
      <w:pPr>
        <w:pStyle w:val="2"/>
      </w:pP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ab/>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eastAsia="zh-CN"/>
        </w:rPr>
        <w:t>杨凌示范区发展和改革局</w:t>
      </w:r>
    </w:p>
    <w:p>
      <w:pPr>
        <w:keepNext w:val="0"/>
        <w:keepLines w:val="0"/>
        <w:pageBreakBefore w:val="0"/>
        <w:widowControl w:val="0"/>
        <w:kinsoku/>
        <w:wordWrap/>
        <w:overflowPunct/>
        <w:topLinePunct w:val="0"/>
        <w:autoSpaceDE/>
        <w:autoSpaceDN/>
        <w:bidi w:val="0"/>
        <w:adjustRightInd/>
        <w:snapToGrid/>
        <w:spacing w:line="540" w:lineRule="exact"/>
        <w:ind w:firstLine="5417" w:firstLineChars="1693"/>
        <w:jc w:val="both"/>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年1月</w:t>
      </w:r>
      <w:r>
        <w:rPr>
          <w:rFonts w:hint="eastAsia" w:ascii="Times New Roman" w:hAnsi="Times New Roman" w:eastAsia="仿宋_GB2312" w:cs="Times New Roman"/>
          <w:color w:val="000000"/>
          <w:sz w:val="32"/>
          <w:szCs w:val="32"/>
          <w:lang w:val="en-US" w:eastAsia="zh-CN"/>
        </w:rPr>
        <w:t>12</w:t>
      </w:r>
      <w:r>
        <w:rPr>
          <w:rFonts w:ascii="Times New Roman" w:hAnsi="Times New Roman" w:eastAsia="仿宋_GB2312" w:cs="Times New Roman"/>
          <w:color w:val="000000"/>
          <w:sz w:val="32"/>
          <w:szCs w:val="32"/>
        </w:rPr>
        <w:t>日</w:t>
      </w:r>
    </w:p>
    <w:p>
      <w:pPr>
        <w:tabs>
          <w:tab w:val="left" w:pos="6163"/>
        </w:tabs>
        <w:rPr>
          <w:rFonts w:hint="eastAsia" w:ascii="BatangChe" w:hAnsi="BatangChe" w:eastAsiaTheme="minorEastAsia"/>
          <w:color w:val="000000" w:themeColor="text1"/>
          <w:szCs w:val="32"/>
          <w:lang w:eastAsia="zh-CN"/>
          <w14:textFill>
            <w14:solidFill>
              <w14:schemeClr w14:val="tx1"/>
            </w14:solidFill>
          </w14:textFill>
        </w:rPr>
      </w:pPr>
    </w:p>
    <w:p>
      <w:pPr>
        <w:rPr>
          <w:rFonts w:ascii="BatangChe" w:hAnsi="BatangChe"/>
          <w:color w:val="000000" w:themeColor="text1"/>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N2NkYzhjM2ZjYWUwMGZjOTdjZjY5YTIxYjQ4YzEifQ=="/>
  </w:docVars>
  <w:rsids>
    <w:rsidRoot w:val="43B52A03"/>
    <w:rsid w:val="3A094344"/>
    <w:rsid w:val="43B52A03"/>
    <w:rsid w:val="4498778D"/>
    <w:rsid w:val="674055CA"/>
    <w:rsid w:val="7A72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Lines="0" w:afterAutospacing="0"/>
      <w:ind w:firstLine="640" w:firstLineChars="20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character" w:customStyle="1" w:styleId="6">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2645</Words>
  <Characters>2775</Characters>
  <Lines>0</Lines>
  <Paragraphs>0</Paragraphs>
  <TotalTime>3</TotalTime>
  <ScaleCrop>false</ScaleCrop>
  <LinksUpToDate>false</LinksUpToDate>
  <CharactersWithSpaces>2800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2024-01-05T03:33:00Z</dcterms:created>
  <dc:creator>安稳@</dc:creator>
  <cp:lastModifiedBy>刘嫚妩</cp:lastModifiedBy>
  <dcterms:modified xsi:type="dcterms:W3CDTF">2024-01-30T02:52:52Z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C6EEE7A1E6944CECB1794B02D4FF2738_13</vt:lpwstr>
  </property>
</Properties>
</file>