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方正小标宋简体" w:eastAsia="方正小标宋简体" w:cs="方正小标宋简体"/>
          <w:bCs/>
          <w:sz w:val="44"/>
          <w:szCs w:val="44"/>
        </w:rPr>
      </w:pPr>
    </w:p>
    <w:p>
      <w:pPr>
        <w:autoSpaceDE w:val="0"/>
        <w:autoSpaceDN w:val="0"/>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杨凌示范区管委会办公室</w:t>
      </w:r>
    </w:p>
    <w:p>
      <w:pPr>
        <w:autoSpaceDE w:val="0"/>
        <w:autoSpaceDN w:val="0"/>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关于2023年第四季度示范区政府网站和政务</w:t>
      </w:r>
    </w:p>
    <w:p>
      <w:pPr>
        <w:autoSpaceDE w:val="0"/>
        <w:autoSpaceDN w:val="0"/>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新媒体运行情况的通报</w:t>
      </w:r>
    </w:p>
    <w:p>
      <w:pPr>
        <w:snapToGrid w:val="0"/>
        <w:jc w:val="center"/>
        <w:rPr>
          <w:rFonts w:ascii="方正小标宋简体" w:hAnsi="方正小标宋简体" w:eastAsia="方正小标宋简体" w:cs="方正小标宋简体"/>
          <w:bCs/>
          <w:sz w:val="44"/>
          <w:szCs w:val="44"/>
        </w:rPr>
      </w:pPr>
    </w:p>
    <w:p>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杨陵区人民政府，管委会各工作部门、各直属机构：</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近期，省政务公开办对202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年第四季度示范区政府网站和政务新媒体运行情况进行了全面检查。现将有关情况通报如下。</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一、复核情况。</w:t>
      </w:r>
      <w:r>
        <w:rPr>
          <w:rFonts w:hint="eastAsia" w:ascii="仿宋_GB2312" w:hAnsi="仿宋_GB2312" w:eastAsia="仿宋_GB2312" w:cs="仿宋_GB2312"/>
          <w:sz w:val="32"/>
          <w:szCs w:val="32"/>
        </w:rPr>
        <w:t>各责任单位对政府网站及新媒体运营给予了足够的重视，各政府网站及政务新媒体栏目的管理得到了进一步的规范，但2023年三季度通报中</w:t>
      </w:r>
      <w:r>
        <w:rPr>
          <w:rFonts w:hint="eastAsia" w:ascii="BatangChe" w:hAnsi="BatangChe" w:eastAsia="仿宋_GB2312"/>
          <w:sz w:val="32"/>
          <w:szCs w:val="36"/>
        </w:rPr>
        <w:t>“主办单位名称与备案名称不符”和“底部功能区党政机关标识、公安机关标识码和 ICP备案号不完整、不规范”问题个别单位</w:t>
      </w:r>
      <w:r>
        <w:rPr>
          <w:rFonts w:hint="eastAsia" w:ascii="仿宋_GB2312" w:hAnsi="仿宋_GB2312" w:eastAsia="仿宋_GB2312" w:cs="仿宋_GB2312"/>
          <w:sz w:val="32"/>
          <w:szCs w:val="32"/>
        </w:rPr>
        <w:t>整改进度迟缓，责任意识有待进一步加强。</w:t>
      </w:r>
    </w:p>
    <w:p>
      <w:pPr>
        <w:pStyle w:val="7"/>
        <w:widowControl/>
        <w:adjustRightInd w:val="0"/>
        <w:snapToGrid w:val="0"/>
        <w:spacing w:beforeAutospacing="0" w:afterAutospacing="0" w:line="360" w:lineRule="auto"/>
        <w:ind w:firstLine="640" w:firstLineChars="200"/>
        <w:jc w:val="both"/>
        <w:rPr>
          <w:rFonts w:ascii="仿宋_GB2312" w:hAnsi="仿宋_GB2312" w:eastAsia="仿宋_GB2312" w:cs="仿宋_GB2312"/>
          <w:sz w:val="32"/>
          <w:szCs w:val="32"/>
        </w:rPr>
      </w:pPr>
      <w:r>
        <w:rPr>
          <w:rFonts w:hint="eastAsia" w:ascii="黑体" w:hAnsi="黑体" w:eastAsia="黑体" w:cs="仿宋_GB2312"/>
          <w:sz w:val="32"/>
          <w:szCs w:val="32"/>
        </w:rPr>
        <w:t>二、存在问题。</w:t>
      </w:r>
      <w:r>
        <w:rPr>
          <w:rFonts w:hint="eastAsia" w:ascii="仿宋_GB2312" w:hAnsi="仿宋_GB2312" w:eastAsia="仿宋_GB2312" w:cs="仿宋_GB2312"/>
          <w:sz w:val="32"/>
          <w:szCs w:val="32"/>
        </w:rPr>
        <w:t>省政务公开办反馈示范区四季度各政府网站主要存在以下问题：管委会网站栏目维护更新不及时；基层政务公开事项标准目录落实不到位；政策解读形式不丰富、不同步等（详见附件）。</w:t>
      </w:r>
    </w:p>
    <w:p>
      <w:pPr>
        <w:pStyle w:val="7"/>
        <w:widowControl/>
        <w:adjustRightInd w:val="0"/>
        <w:snapToGrid w:val="0"/>
        <w:spacing w:beforeAutospacing="0" w:afterAutospacing="0" w:line="360" w:lineRule="auto"/>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三、工作要求。</w:t>
      </w:r>
      <w:r>
        <w:rPr>
          <w:rFonts w:hint="eastAsia" w:ascii="仿宋_GB2312" w:hAnsi="仿宋_GB2312" w:eastAsia="仿宋_GB2312" w:cs="仿宋_GB2312"/>
          <w:sz w:val="32"/>
          <w:szCs w:val="32"/>
        </w:rPr>
        <w:t>各主办单位要高度重视政府网站和政务新媒体建设、运行和管理工作，主动认领、专人负责，全面整改存在问题，并将整改情况于</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日（星期一）前以书面形式反馈至示范区政务公开办（联系人：李洽1</w:t>
      </w:r>
      <w:r>
        <w:rPr>
          <w:rFonts w:ascii="仿宋_GB2312" w:hAnsi="仿宋_GB2312" w:eastAsia="仿宋_GB2312" w:cs="仿宋_GB2312"/>
          <w:sz w:val="32"/>
          <w:szCs w:val="32"/>
        </w:rPr>
        <w:t>8067772126</w:t>
      </w:r>
      <w:r>
        <w:rPr>
          <w:rFonts w:hint="eastAsia" w:ascii="仿宋_GB2312" w:hAnsi="仿宋_GB2312" w:eastAsia="仿宋_GB2312" w:cs="仿宋_GB2312"/>
          <w:sz w:val="32"/>
          <w:szCs w:val="32"/>
        </w:rPr>
        <w:t>）。同时，要坚持政务公开信息内容更新常态化、规范化，严格政务信息审核发布，做好政府网站、政务新媒体安全维护，不断提升政府网站与政务新媒体运行质效。</w:t>
      </w:r>
    </w:p>
    <w:p>
      <w:pPr>
        <w:adjustRightInd w:val="0"/>
        <w:snapToGrid w:val="0"/>
        <w:spacing w:line="360" w:lineRule="auto"/>
        <w:ind w:left="1918" w:leftChars="304" w:hanging="1280" w:hangingChars="400"/>
        <w:rPr>
          <w:rFonts w:ascii="仿宋_GB2312" w:hAnsi="仿宋_GB2312" w:eastAsia="仿宋_GB2312" w:cs="仿宋_GB2312"/>
          <w:sz w:val="32"/>
          <w:szCs w:val="32"/>
        </w:rPr>
      </w:pPr>
    </w:p>
    <w:p>
      <w:pPr>
        <w:adjustRightInd w:val="0"/>
        <w:snapToGrid w:val="0"/>
        <w:spacing w:line="360" w:lineRule="auto"/>
        <w:ind w:left="1918" w:leftChars="304"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附件：杨陵区政府，示范区有关部门问题清单</w:t>
      </w:r>
    </w:p>
    <w:p>
      <w:pPr>
        <w:adjustRightInd w:val="0"/>
        <w:snapToGrid w:val="0"/>
        <w:spacing w:line="360" w:lineRule="auto"/>
        <w:jc w:val="right"/>
        <w:rPr>
          <w:rFonts w:ascii="仿宋_GB2312" w:hAnsi="仿宋_GB2312" w:eastAsia="仿宋_GB2312" w:cs="仿宋_GB2312"/>
          <w:sz w:val="32"/>
          <w:szCs w:val="32"/>
        </w:rPr>
      </w:pPr>
    </w:p>
    <w:p>
      <w:pPr>
        <w:adjustRightInd w:val="0"/>
        <w:snapToGrid w:val="0"/>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杨凌示范区管委会办公室</w:t>
      </w:r>
    </w:p>
    <w:p>
      <w:pPr>
        <w:adjustRightInd w:val="0"/>
        <w:snapToGrid w:val="0"/>
        <w:spacing w:line="360" w:lineRule="auto"/>
        <w:jc w:val="center"/>
        <w:rPr>
          <w:rFonts w:ascii="黑体" w:hAnsi="黑体" w:eastAsia="方正小标宋简体" w:cs="方正小标宋简体"/>
          <w:color w:val="000000"/>
          <w:kern w:val="0"/>
          <w:sz w:val="32"/>
          <w:szCs w:val="32"/>
        </w:rPr>
      </w:pPr>
      <w:r>
        <w:rPr>
          <w:rFonts w:hint="eastAsia" w:ascii="仿宋_GB2312" w:hAnsi="仿宋_GB2312" w:eastAsia="仿宋_GB2312" w:cs="仿宋_GB2312"/>
          <w:sz w:val="32"/>
          <w:szCs w:val="32"/>
        </w:rPr>
        <w:t xml:space="preserve">                    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 xml:space="preserve"> 日</w:t>
      </w:r>
    </w:p>
    <w:p>
      <w:pPr>
        <w:widowControl/>
        <w:textAlignment w:val="center"/>
        <w:rPr>
          <w:rFonts w:ascii="方正小标宋简体" w:hAnsi="方正小标宋简体" w:eastAsia="方正小标宋简体" w:cs="方正小标宋简体"/>
          <w:color w:val="000000"/>
          <w:kern w:val="0"/>
          <w:sz w:val="44"/>
          <w:szCs w:val="44"/>
        </w:rPr>
        <w:sectPr>
          <w:pgSz w:w="11906" w:h="16838"/>
          <w:pgMar w:top="1814" w:right="1474" w:bottom="1701" w:left="1588" w:header="851" w:footer="992" w:gutter="0"/>
          <w:cols w:space="425" w:num="1"/>
          <w:docGrid w:type="lines" w:linePitch="312" w:charSpace="0"/>
        </w:sectPr>
      </w:pPr>
    </w:p>
    <w:p>
      <w:pPr>
        <w:widowControl/>
        <w:jc w:val="left"/>
        <w:rPr>
          <w:rFonts w:ascii="仿宋_GB2312" w:eastAsia="仿宋_GB2312"/>
          <w:sz w:val="32"/>
          <w:szCs w:val="32"/>
        </w:rPr>
      </w:pPr>
      <w:r>
        <w:rPr>
          <w:rFonts w:hint="eastAsia" w:ascii="仿宋_GB2312" w:eastAsia="仿宋_GB2312"/>
          <w:sz w:val="32"/>
          <w:szCs w:val="32"/>
        </w:rPr>
        <w:t>附件1</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杨陵区政府问题清单</w:t>
      </w:r>
    </w:p>
    <w:p>
      <w:pPr>
        <w:snapToGrid w:val="0"/>
        <w:spacing w:line="560" w:lineRule="exact"/>
        <w:rPr>
          <w:rFonts w:ascii="仿宋_GB2312" w:eastAsia="仿宋_GB2312"/>
          <w:sz w:val="32"/>
          <w:szCs w:val="32"/>
        </w:rPr>
      </w:pPr>
    </w:p>
    <w:p>
      <w:pPr>
        <w:ind w:firstLine="562" w:firstLineChars="200"/>
        <w:outlineLvl w:val="0"/>
        <w:rPr>
          <w:rFonts w:ascii="仿宋_GB2312" w:hAnsi="仿宋" w:eastAsia="仿宋_GB2312"/>
          <w:b/>
          <w:sz w:val="28"/>
          <w:szCs w:val="28"/>
        </w:rPr>
      </w:pPr>
      <w:bookmarkStart w:id="0" w:name="_Toc496620497"/>
      <w:r>
        <w:rPr>
          <w:rFonts w:hint="eastAsia" w:ascii="仿宋_GB2312" w:hAnsi="仿宋" w:eastAsia="仿宋_GB2312"/>
          <w:b/>
          <w:sz w:val="28"/>
          <w:szCs w:val="28"/>
        </w:rPr>
        <w:t>一、政府信息公开</w:t>
      </w:r>
      <w:bookmarkEnd w:id="0"/>
    </w:p>
    <w:p>
      <w:pPr>
        <w:ind w:firstLine="562" w:firstLineChars="200"/>
        <w:rPr>
          <w:rFonts w:ascii="仿宋_GB2312" w:hAnsi="仿宋" w:eastAsia="仿宋_GB2312" w:cs="仿宋_GB2312"/>
          <w:b/>
          <w:sz w:val="28"/>
          <w:szCs w:val="28"/>
        </w:rPr>
      </w:pPr>
      <w:r>
        <w:rPr>
          <w:rFonts w:hint="eastAsia" w:ascii="仿宋_GB2312" w:hAnsi="仿宋" w:eastAsia="仿宋_GB2312" w:cs="仿宋_GB2312"/>
          <w:b/>
          <w:sz w:val="28"/>
          <w:szCs w:val="28"/>
        </w:rPr>
        <w:t>（一）主动公开</w:t>
      </w:r>
    </w:p>
    <w:p>
      <w:pPr>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1.</w:t>
      </w:r>
      <w:r>
        <w:rPr>
          <w:rFonts w:hint="eastAsia" w:ascii="仿宋_GB2312" w:hAnsi="仿宋" w:eastAsia="仿宋_GB2312" w:cs="仿宋_GB2312"/>
          <w:kern w:val="0"/>
          <w:sz w:val="28"/>
          <w:szCs w:val="28"/>
        </w:rPr>
        <w:t>权责清单公开</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“权责清单”栏目链接至“陕西省权责清单统一发布平台”，缺少行政处罚、行政强制事项；抽查“渔业船舶登记”“在草原上开展经营性旅游活动审批”，缺少监督电话。</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2</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决策预公开</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决策草案未公开解读说明。部分决策草案未公开意见征集的邮寄地址。意见征集未公开反馈情况。</w:t>
      </w:r>
    </w:p>
    <w:p>
      <w:pPr>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3</w:t>
      </w:r>
      <w:r>
        <w:rPr>
          <w:rFonts w:hint="eastAsia" w:ascii="仿宋_GB2312" w:hAnsi="仿宋" w:eastAsia="仿宋_GB2312" w:cs="仿宋_GB2312"/>
          <w:kern w:val="0"/>
          <w:sz w:val="28"/>
          <w:szCs w:val="28"/>
        </w:rPr>
        <w:t>.政策文件公开</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（1）规范性文件更新情况</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 xml:space="preserve">已过有效期的规范性文件仍标注“有效”。 </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（2）规划公开情况</w:t>
      </w:r>
    </w:p>
    <w:p>
      <w:pPr>
        <w:tabs>
          <w:tab w:val="left" w:pos="675"/>
        </w:tabs>
        <w:rPr>
          <w:rFonts w:ascii="仿宋_GB2312" w:hAnsi="仿宋" w:eastAsia="仿宋_GB2312" w:cs="仿宋_GB2312"/>
          <w:kern w:val="0"/>
          <w:sz w:val="28"/>
          <w:szCs w:val="28"/>
        </w:rPr>
      </w:pPr>
      <w:r>
        <w:rPr>
          <w:rFonts w:ascii="仿宋_GB2312" w:hAnsi="仿宋" w:eastAsia="仿宋_GB2312" w:cs="仿宋_GB2312"/>
          <w:kern w:val="0"/>
          <w:sz w:val="28"/>
          <w:szCs w:val="28"/>
        </w:rPr>
        <w:tab/>
      </w:r>
      <w:r>
        <w:rPr>
          <w:rFonts w:hint="eastAsia" w:ascii="仿宋_GB2312" w:hAnsi="仿宋" w:eastAsia="仿宋_GB2312" w:cs="仿宋_GB2312"/>
          <w:kern w:val="0"/>
          <w:sz w:val="28"/>
          <w:szCs w:val="28"/>
        </w:rPr>
        <w:t>未查询到本地区“十四五”专项规划。</w:t>
      </w:r>
    </w:p>
    <w:p>
      <w:pPr>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4</w:t>
      </w:r>
      <w:r>
        <w:rPr>
          <w:rFonts w:hint="eastAsia" w:ascii="仿宋_GB2312" w:hAnsi="仿宋" w:eastAsia="仿宋_GB2312" w:cs="仿宋_GB2312"/>
          <w:kern w:val="0"/>
          <w:sz w:val="28"/>
          <w:szCs w:val="28"/>
        </w:rPr>
        <w:t>.行政执法信息公开</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随机抽查事项清单缺少抽查主体、抽查方式，未查询到反不正当竞争执法信息。</w:t>
      </w:r>
    </w:p>
    <w:p>
      <w:pPr>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5</w:t>
      </w:r>
      <w:r>
        <w:rPr>
          <w:rFonts w:hint="eastAsia" w:ascii="仿宋_GB2312" w:hAnsi="仿宋" w:eastAsia="仿宋_GB2312" w:cs="仿宋_GB2312"/>
          <w:kern w:val="0"/>
          <w:sz w:val="28"/>
          <w:szCs w:val="28"/>
        </w:rPr>
        <w:t>.建议提案办理结果公开</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未查询到2023年对示范区人大代表建议、政协提案的复函。</w:t>
      </w:r>
    </w:p>
    <w:p>
      <w:pPr>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6</w:t>
      </w:r>
      <w:r>
        <w:rPr>
          <w:rFonts w:hint="eastAsia" w:ascii="仿宋_GB2312" w:hAnsi="仿宋" w:eastAsia="仿宋_GB2312" w:cs="仿宋_GB2312"/>
          <w:kern w:val="0"/>
          <w:sz w:val="28"/>
          <w:szCs w:val="28"/>
        </w:rPr>
        <w:t>.重点领域信息公开</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（1）高质量项目信息公开</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未查询到</w:t>
      </w:r>
      <w:r>
        <w:rPr>
          <w:rFonts w:ascii="仿宋_GB2312" w:hAnsi="仿宋" w:eastAsia="仿宋_GB2312" w:cs="仿宋_GB2312"/>
          <w:kern w:val="0"/>
          <w:sz w:val="28"/>
          <w:szCs w:val="28"/>
        </w:rPr>
        <w:t>高质量项目</w:t>
      </w:r>
      <w:r>
        <w:rPr>
          <w:rFonts w:hint="eastAsia" w:ascii="仿宋_GB2312" w:hAnsi="仿宋" w:eastAsia="仿宋_GB2312" w:cs="仿宋_GB2312"/>
          <w:kern w:val="0"/>
          <w:sz w:val="28"/>
          <w:szCs w:val="28"/>
        </w:rPr>
        <w:t>名单及高质量项目</w:t>
      </w:r>
      <w:r>
        <w:rPr>
          <w:rFonts w:ascii="仿宋_GB2312" w:hAnsi="仿宋" w:eastAsia="仿宋_GB2312" w:cs="仿宋_GB2312"/>
          <w:kern w:val="0"/>
          <w:sz w:val="28"/>
          <w:szCs w:val="28"/>
        </w:rPr>
        <w:t>推进年亮点工作、典型做法</w:t>
      </w:r>
      <w:r>
        <w:rPr>
          <w:rFonts w:hint="eastAsia" w:ascii="仿宋_GB2312" w:hAnsi="仿宋" w:eastAsia="仿宋_GB2312" w:cs="仿宋_GB2312"/>
          <w:kern w:val="0"/>
          <w:sz w:val="28"/>
          <w:szCs w:val="28"/>
        </w:rPr>
        <w:t>信息；未查询到项目核准结果、节能审查意见、建设项目选址意见审批结果、建设项目用地预审结果、建设项目使用林地审核结果、建设用地规划许可证审批结果、建设工程规划类许可审批结果、招标事项审批核准结果，取水许可、水土保持方案、洪水影响评价等涉水事项审批结果等信息；未查询到资格预审公告、招标公告、中标候选人公示、中标结果公示等招标投标信息；未查询到2023年征地告知书以及履行征地报批前程序的相关证明材料、建设项目用地呈报说明书、农用地转用方案、补充耕地方案、征收土地方案、供地方案、征地批后实施中征地公告、征地补偿安置方案公告等征收土地信息；未查询到</w:t>
      </w:r>
      <w:r>
        <w:rPr>
          <w:rFonts w:ascii="仿宋_GB2312" w:hAnsi="仿宋" w:eastAsia="仿宋_GB2312" w:cs="仿宋_GB2312"/>
          <w:kern w:val="0"/>
          <w:sz w:val="28"/>
          <w:szCs w:val="28"/>
        </w:rPr>
        <w:t>竣工验收时间、竣工验收结果，竣工验收备案时间、备案编号、备案部门</w:t>
      </w:r>
      <w:r>
        <w:rPr>
          <w:rFonts w:hint="eastAsia" w:ascii="仿宋_GB2312" w:hAnsi="仿宋" w:eastAsia="仿宋_GB2312" w:cs="仿宋_GB2312"/>
          <w:kern w:val="0"/>
          <w:sz w:val="28"/>
          <w:szCs w:val="28"/>
        </w:rPr>
        <w:t>等竣工信息。</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（2）营商环境信息公开</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未查询到营商环境突破年亮点工作、典型做法信息。</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（3）义务教育信息公开</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未查询到义务教育学校情况、录取结果、奖助学金等信息。</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（4）稳岗就业信息公开</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未查询到就业优先政策、技能培训政策及办理流程信息，未查询到面向高校毕业生、农村转移劳动力、退役军人、就业困难人员的就业支持政策。</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（5）公务员和事业单位招考信息公开</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未查询到本地区2023年公务员招考招录和事业单位招聘信息。</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（6）涉农补贴信息公开</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未设置涉农补贴类栏目。</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（7）生态环境信息公开</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未查询到关于提升黄河生态保护水平、净土保卫战、推进碳达峰碳中和的环境管理、监督检查信息。</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（8）公共文化服务信息公开</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未查询到群众文化活动、各类演出展览和讲座、非遗展示传播等信息。</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（9）基层政务公开事项标准目录公开及落实</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未对照目录落实公开内容，如未公开义务教育领域的学校体育评价信息。</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（10）政府信息公开年度报告</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 xml:space="preserve"> “总体情况－监督保障”未包含社会评议结果；“主动公开政府信息情况”表格中规范性文件数据与政府网站规范性文件栏目实际公开数量不一致，与2021年数据不衔接。</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（11）养老服务信息公开</w:t>
      </w:r>
    </w:p>
    <w:p>
      <w:pPr>
        <w:ind w:firstLine="560" w:firstLineChars="200"/>
        <w:outlineLvl w:val="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未查询到养老服务政策措施、行业管理信息。</w:t>
      </w:r>
    </w:p>
    <w:p>
      <w:pPr>
        <w:ind w:firstLine="562" w:firstLineChars="200"/>
        <w:outlineLvl w:val="0"/>
        <w:rPr>
          <w:rFonts w:ascii="仿宋_GB2312" w:hAnsi="仿宋" w:eastAsia="仿宋_GB2312"/>
          <w:b/>
          <w:sz w:val="28"/>
          <w:szCs w:val="28"/>
        </w:rPr>
      </w:pPr>
      <w:r>
        <w:rPr>
          <w:rFonts w:hint="eastAsia" w:ascii="仿宋_GB2312" w:hAnsi="仿宋" w:eastAsia="仿宋_GB2312"/>
          <w:b/>
          <w:sz w:val="28"/>
          <w:szCs w:val="28"/>
        </w:rPr>
        <w:t>二、解读回应参与</w:t>
      </w:r>
    </w:p>
    <w:p>
      <w:pPr>
        <w:ind w:firstLine="562" w:firstLineChars="200"/>
        <w:outlineLvl w:val="1"/>
        <w:rPr>
          <w:rFonts w:ascii="仿宋_GB2312" w:hAnsi="仿宋" w:eastAsia="仿宋_GB2312" w:cs="仿宋_GB2312"/>
          <w:b/>
          <w:sz w:val="28"/>
          <w:szCs w:val="28"/>
        </w:rPr>
      </w:pPr>
      <w:r>
        <w:rPr>
          <w:rFonts w:hint="eastAsia" w:ascii="仿宋_GB2312" w:hAnsi="仿宋" w:eastAsia="仿宋_GB2312" w:cs="仿宋_GB2312"/>
          <w:b/>
          <w:sz w:val="28"/>
          <w:szCs w:val="28"/>
        </w:rPr>
        <w:t>（一）政策解读</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1.解读形式</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未在政府网站“政策解读”栏目中查询到视频动漫形式的解读材料。未在新浪微博账号、微信公众号中查询到图片图表、视频动漫形式的解读材料。未查询到邀请专家学者和领导干部解读政策的信息。</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2.解读内容</w:t>
      </w:r>
    </w:p>
    <w:p>
      <w:pPr>
        <w:ind w:firstLine="560" w:firstLineChars="200"/>
      </w:pPr>
      <w:r>
        <w:rPr>
          <w:rFonts w:hint="eastAsia" w:ascii="仿宋_GB2312" w:hAnsi="仿宋" w:eastAsia="仿宋_GB2312" w:cs="仿宋_GB2312"/>
          <w:kern w:val="0"/>
          <w:sz w:val="28"/>
          <w:szCs w:val="28"/>
        </w:rPr>
        <w:t>政府网站“政策解读”栏目、新浪微博账号部分解读材料未对政策重要举措方面进行实质性解读。未查询到围绕招商引资、财政补贴、减税降费等方面优惠政策进行解读的信息。</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3.解读时效</w:t>
      </w:r>
    </w:p>
    <w:p>
      <w:pPr>
        <w:ind w:firstLine="560" w:firstLineChars="200"/>
        <w:rPr>
          <w:rFonts w:ascii="仿宋_GB2312" w:hAnsi="仿宋" w:eastAsia="仿宋_GB2312" w:cs="仿宋_GB2312"/>
          <w:b/>
          <w:sz w:val="28"/>
          <w:szCs w:val="28"/>
        </w:rPr>
      </w:pPr>
      <w:r>
        <w:rPr>
          <w:rFonts w:hint="eastAsia" w:ascii="仿宋_GB2312" w:hAnsi="仿宋" w:eastAsia="仿宋_GB2312" w:cs="仿宋_GB2312"/>
          <w:kern w:val="0"/>
          <w:sz w:val="28"/>
          <w:szCs w:val="28"/>
        </w:rPr>
        <w:t>新浪微博账号解读材料发布不及时。</w:t>
      </w:r>
    </w:p>
    <w:p>
      <w:pPr>
        <w:ind w:firstLine="562" w:firstLineChars="200"/>
        <w:outlineLvl w:val="1"/>
        <w:rPr>
          <w:rFonts w:ascii="仿宋_GB2312" w:hAnsi="仿宋" w:eastAsia="仿宋_GB2312" w:cs="仿宋_GB2312"/>
          <w:b/>
          <w:sz w:val="28"/>
          <w:szCs w:val="28"/>
        </w:rPr>
      </w:pPr>
      <w:r>
        <w:rPr>
          <w:rFonts w:hint="eastAsia" w:ascii="仿宋_GB2312" w:hAnsi="仿宋" w:eastAsia="仿宋_GB2312" w:cs="仿宋_GB2312"/>
          <w:b/>
          <w:sz w:val="28"/>
          <w:szCs w:val="28"/>
        </w:rPr>
        <w:t>（二）公众参与</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1.调查征集</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未查询到统计分析结果。</w:t>
      </w:r>
    </w:p>
    <w:p>
      <w:pPr>
        <w:ind w:firstLine="562" w:firstLineChars="200"/>
        <w:outlineLvl w:val="0"/>
        <w:rPr>
          <w:rFonts w:ascii="仿宋_GB2312" w:hAnsi="仿宋" w:eastAsia="仿宋_GB2312"/>
          <w:b/>
          <w:sz w:val="28"/>
          <w:szCs w:val="28"/>
        </w:rPr>
      </w:pPr>
      <w:bookmarkStart w:id="1" w:name="_Toc524685851"/>
      <w:r>
        <w:rPr>
          <w:rFonts w:hint="eastAsia" w:ascii="仿宋_GB2312" w:hAnsi="仿宋" w:eastAsia="仿宋_GB2312"/>
          <w:b/>
          <w:sz w:val="28"/>
          <w:szCs w:val="28"/>
        </w:rPr>
        <w:t>三、服务</w:t>
      </w:r>
      <w:bookmarkEnd w:id="1"/>
      <w:r>
        <w:rPr>
          <w:rFonts w:hint="eastAsia" w:ascii="仿宋_GB2312" w:hAnsi="仿宋" w:eastAsia="仿宋_GB2312"/>
          <w:b/>
          <w:sz w:val="28"/>
          <w:szCs w:val="28"/>
        </w:rPr>
        <w:t>公开</w:t>
      </w:r>
    </w:p>
    <w:p>
      <w:pPr>
        <w:ind w:firstLine="562" w:firstLineChars="200"/>
        <w:outlineLvl w:val="1"/>
        <w:rPr>
          <w:rFonts w:ascii="仿宋_GB2312" w:hAnsi="仿宋" w:eastAsia="仿宋_GB2312" w:cs="仿宋_GB2312"/>
          <w:b/>
          <w:sz w:val="28"/>
          <w:szCs w:val="28"/>
        </w:rPr>
      </w:pPr>
      <w:r>
        <w:rPr>
          <w:rFonts w:hint="eastAsia" w:ascii="仿宋_GB2312" w:hAnsi="仿宋" w:eastAsia="仿宋_GB2312" w:cs="仿宋_GB2312"/>
          <w:b/>
          <w:sz w:val="28"/>
          <w:szCs w:val="28"/>
        </w:rPr>
        <w:t>（一）政务服务清单公开</w:t>
      </w:r>
    </w:p>
    <w:p>
      <w:pPr>
        <w:ind w:firstLine="560" w:firstLineChars="200"/>
        <w:rPr>
          <w:rFonts w:ascii="仿宋_GB2312" w:hAnsi="仿宋" w:eastAsia="仿宋_GB2312" w:cs="仿宋_GB2312"/>
          <w:color w:val="000000"/>
          <w:kern w:val="0"/>
          <w:sz w:val="28"/>
          <w:szCs w:val="28"/>
        </w:rPr>
      </w:pPr>
      <w:r>
        <w:rPr>
          <w:rFonts w:hint="eastAsia" w:ascii="仿宋_GB2312" w:hAnsi="仿宋" w:eastAsia="仿宋_GB2312" w:cs="仿宋_GB2312"/>
          <w:color w:val="000000"/>
          <w:kern w:val="0"/>
          <w:sz w:val="28"/>
          <w:szCs w:val="28"/>
        </w:rPr>
        <w:t>未明确提供本级政府政务服务事项清单。</w:t>
      </w:r>
    </w:p>
    <w:p>
      <w:pPr>
        <w:ind w:firstLine="562" w:firstLineChars="200"/>
        <w:outlineLvl w:val="1"/>
        <w:rPr>
          <w:rFonts w:ascii="仿宋_GB2312" w:hAnsi="仿宋" w:eastAsia="仿宋_GB2312" w:cs="仿宋_GB2312"/>
          <w:b/>
          <w:sz w:val="28"/>
          <w:szCs w:val="28"/>
        </w:rPr>
      </w:pPr>
      <w:r>
        <w:rPr>
          <w:rFonts w:hint="eastAsia" w:ascii="仿宋_GB2312" w:hAnsi="仿宋" w:eastAsia="仿宋_GB2312" w:cs="仿宋_GB2312"/>
          <w:b/>
          <w:sz w:val="28"/>
          <w:szCs w:val="28"/>
        </w:rPr>
        <w:t>（二）办事指南公开</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color w:val="000000"/>
          <w:kern w:val="0"/>
          <w:sz w:val="28"/>
          <w:szCs w:val="28"/>
        </w:rPr>
        <w:t>首页－服务－个人办事－按部门、按主题，访问链接至“陕西政务服务网－杨陵区”页面，抽查事项，部分服务事项提供的办事指南要素不齐全，缺少办理地点，如“动物防疫条件合格证核发”；部分服务事项咨询电话、监督电话不准确，如“动物及动物产品检疫合格证核发”；部分服务事项提供的样表内容不准确，如“在城市供水、供热、燃气设施保护范围内从事施工作业的审批”。</w:t>
      </w:r>
    </w:p>
    <w:p>
      <w:pPr>
        <w:ind w:firstLine="562" w:firstLineChars="200"/>
        <w:outlineLvl w:val="0"/>
        <w:rPr>
          <w:rFonts w:ascii="仿宋_GB2312" w:hAnsi="仿宋" w:eastAsia="仿宋_GB2312"/>
          <w:b/>
          <w:sz w:val="28"/>
          <w:szCs w:val="28"/>
        </w:rPr>
      </w:pPr>
      <w:r>
        <w:rPr>
          <w:rFonts w:hint="eastAsia" w:ascii="仿宋_GB2312" w:hAnsi="仿宋" w:eastAsia="仿宋_GB2312"/>
          <w:b/>
          <w:sz w:val="28"/>
          <w:szCs w:val="28"/>
        </w:rPr>
        <w:t>四、平台建设</w:t>
      </w:r>
    </w:p>
    <w:p>
      <w:pPr>
        <w:ind w:firstLine="562" w:firstLineChars="200"/>
        <w:outlineLvl w:val="1"/>
        <w:rPr>
          <w:rFonts w:ascii="仿宋_GB2312" w:hAnsi="仿宋" w:eastAsia="仿宋_GB2312" w:cs="仿宋_GB2312"/>
          <w:b/>
          <w:sz w:val="28"/>
          <w:szCs w:val="28"/>
        </w:rPr>
      </w:pPr>
      <w:r>
        <w:rPr>
          <w:rFonts w:hint="eastAsia" w:ascii="仿宋_GB2312" w:hAnsi="仿宋" w:eastAsia="仿宋_GB2312" w:cs="仿宋_GB2312"/>
          <w:b/>
          <w:sz w:val="28"/>
          <w:szCs w:val="28"/>
        </w:rPr>
        <w:t>（一）政府网站</w:t>
      </w:r>
    </w:p>
    <w:p>
      <w:pPr>
        <w:ind w:firstLine="560" w:firstLineChars="200"/>
        <w:outlineLvl w:val="2"/>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网站功能建设</w:t>
      </w:r>
    </w:p>
    <w:p>
      <w:pPr>
        <w:ind w:firstLine="560" w:firstLineChars="200"/>
        <w:outlineLvl w:val="3"/>
        <w:rPr>
          <w:rFonts w:ascii="仿宋_GB2312" w:hAnsi="仿宋" w:eastAsia="仿宋_GB2312" w:cs="仿宋_GB2312"/>
          <w:color w:val="000000"/>
          <w:kern w:val="0"/>
          <w:sz w:val="28"/>
          <w:szCs w:val="28"/>
        </w:rPr>
      </w:pPr>
      <w:r>
        <w:rPr>
          <w:rFonts w:hint="eastAsia" w:ascii="仿宋_GB2312" w:hAnsi="仿宋" w:eastAsia="仿宋_GB2312" w:cs="仿宋_GB2312"/>
          <w:color w:val="000000"/>
          <w:kern w:val="0"/>
          <w:sz w:val="28"/>
          <w:szCs w:val="28"/>
        </w:rPr>
        <w:t>（1）网站内容协同联动</w:t>
      </w:r>
    </w:p>
    <w:p>
      <w:pPr>
        <w:ind w:firstLine="560" w:firstLineChars="200"/>
        <w:rPr>
          <w:rFonts w:ascii="仿宋_GB2312" w:hAnsi="仿宋" w:eastAsia="仿宋_GB2312" w:cs="仿宋_GB2312"/>
          <w:sz w:val="28"/>
          <w:szCs w:val="28"/>
        </w:rPr>
      </w:pPr>
      <w:r>
        <w:rPr>
          <w:rFonts w:hint="eastAsia" w:ascii="仿宋_GB2312" w:hAnsi="仿宋" w:eastAsia="仿宋_GB2312" w:cs="仿宋_GB2312"/>
          <w:color w:val="000000"/>
          <w:kern w:val="0"/>
          <w:sz w:val="28"/>
          <w:szCs w:val="28"/>
        </w:rPr>
        <w:t>未及时转载上级政府网站发布的重要政策信息，如“四部门集中回应中国经济形势，信息量很大！”</w:t>
      </w:r>
    </w:p>
    <w:p>
      <w:pPr>
        <w:ind w:firstLine="560" w:firstLineChars="200"/>
        <w:outlineLvl w:val="3"/>
        <w:rPr>
          <w:rFonts w:ascii="仿宋_GB2312" w:hAnsi="仿宋" w:eastAsia="仿宋_GB2312" w:cs="仿宋_GB2312"/>
          <w:color w:val="000000"/>
          <w:kern w:val="0"/>
          <w:sz w:val="28"/>
          <w:szCs w:val="28"/>
        </w:rPr>
      </w:pPr>
      <w:r>
        <w:rPr>
          <w:rFonts w:hint="eastAsia" w:ascii="仿宋_GB2312" w:hAnsi="仿宋" w:eastAsia="仿宋_GB2312" w:cs="仿宋_GB2312"/>
          <w:color w:val="000000"/>
          <w:kern w:val="0"/>
          <w:sz w:val="28"/>
          <w:szCs w:val="28"/>
        </w:rPr>
        <w:t>（</w:t>
      </w:r>
      <w:r>
        <w:rPr>
          <w:rFonts w:ascii="仿宋_GB2312" w:hAnsi="仿宋" w:eastAsia="仿宋_GB2312" w:cs="仿宋_GB2312"/>
          <w:color w:val="000000"/>
          <w:kern w:val="0"/>
          <w:sz w:val="28"/>
          <w:szCs w:val="28"/>
        </w:rPr>
        <w:t>2</w:t>
      </w:r>
      <w:r>
        <w:rPr>
          <w:rFonts w:hint="eastAsia" w:ascii="仿宋_GB2312" w:hAnsi="仿宋" w:eastAsia="仿宋_GB2312" w:cs="仿宋_GB2312"/>
          <w:color w:val="000000"/>
          <w:kern w:val="0"/>
          <w:sz w:val="28"/>
          <w:szCs w:val="28"/>
        </w:rPr>
        <w:t>）网站搜索</w:t>
      </w:r>
    </w:p>
    <w:p>
      <w:pPr>
        <w:tabs>
          <w:tab w:val="left" w:pos="780"/>
        </w:tabs>
        <w:ind w:firstLine="560" w:firstLineChars="200"/>
        <w:rPr>
          <w:rFonts w:ascii="仿宋_GB2312" w:hAnsi="仿宋" w:eastAsia="仿宋_GB2312" w:cs="仿宋_GB2312"/>
          <w:sz w:val="28"/>
          <w:szCs w:val="28"/>
        </w:rPr>
      </w:pPr>
      <w:r>
        <w:rPr>
          <w:rFonts w:hint="eastAsia" w:ascii="仿宋_GB2312" w:hAnsi="仿宋" w:eastAsia="仿宋_GB2312" w:cs="仿宋_GB2312"/>
          <w:color w:val="000000"/>
          <w:kern w:val="0"/>
          <w:sz w:val="28"/>
          <w:szCs w:val="28"/>
        </w:rPr>
        <w:t>随机选取4条网站已发布的信息或服务的标题进行测试，其中2条信息未在搜索结果第一页成功找到该内容；</w:t>
      </w:r>
      <w:r>
        <w:rPr>
          <w:rFonts w:hint="eastAsia" w:ascii="仿宋_GB2312" w:hAnsi="仿宋" w:eastAsia="仿宋_GB2312" w:cs="仿宋_GB2312"/>
          <w:kern w:val="0"/>
          <w:sz w:val="28"/>
          <w:szCs w:val="28"/>
        </w:rPr>
        <w:t>搜索结果分类展现不全面，</w:t>
      </w:r>
      <w:r>
        <w:rPr>
          <w:rFonts w:hint="eastAsia" w:ascii="仿宋_GB2312" w:hAnsi="仿宋" w:eastAsia="仿宋_GB2312" w:cs="仿宋_GB2312"/>
          <w:color w:val="000000"/>
          <w:kern w:val="0"/>
          <w:sz w:val="28"/>
          <w:szCs w:val="28"/>
        </w:rPr>
        <w:t>未包含“办事指南”。</w:t>
      </w:r>
    </w:p>
    <w:p>
      <w:pPr>
        <w:ind w:firstLine="562" w:firstLineChars="200"/>
        <w:outlineLvl w:val="1"/>
        <w:rPr>
          <w:rFonts w:ascii="仿宋_GB2312" w:hAnsi="仿宋" w:eastAsia="仿宋_GB2312" w:cs="仿宋_GB2312"/>
          <w:b/>
          <w:sz w:val="28"/>
          <w:szCs w:val="28"/>
        </w:rPr>
      </w:pPr>
      <w:r>
        <w:rPr>
          <w:rFonts w:hint="eastAsia" w:ascii="仿宋_GB2312" w:hAnsi="仿宋" w:eastAsia="仿宋_GB2312" w:cs="仿宋_GB2312"/>
          <w:b/>
          <w:sz w:val="28"/>
          <w:szCs w:val="28"/>
        </w:rPr>
        <w:t>（二）政务新媒体</w:t>
      </w:r>
    </w:p>
    <w:p>
      <w:pPr>
        <w:ind w:firstLine="560" w:firstLineChars="200"/>
        <w:outlineLvl w:val="3"/>
        <w:rPr>
          <w:rFonts w:ascii="仿宋_GB2312" w:hAnsi="仿宋" w:eastAsia="仿宋_GB2312" w:cs="仿宋_GB2312"/>
          <w:color w:val="000000"/>
          <w:kern w:val="0"/>
          <w:sz w:val="28"/>
          <w:szCs w:val="28"/>
        </w:rPr>
      </w:pPr>
      <w:r>
        <w:rPr>
          <w:rFonts w:hint="eastAsia" w:ascii="仿宋_GB2312" w:hAnsi="仿宋" w:eastAsia="仿宋_GB2312" w:cs="仿宋_GB2312"/>
          <w:color w:val="000000"/>
          <w:kern w:val="0"/>
          <w:sz w:val="28"/>
          <w:szCs w:val="28"/>
        </w:rPr>
        <w:t>（</w:t>
      </w:r>
      <w:r>
        <w:rPr>
          <w:rFonts w:ascii="仿宋_GB2312" w:hAnsi="仿宋" w:eastAsia="仿宋_GB2312" w:cs="仿宋_GB2312"/>
          <w:color w:val="000000"/>
          <w:kern w:val="0"/>
          <w:sz w:val="28"/>
          <w:szCs w:val="28"/>
        </w:rPr>
        <w:t>1</w:t>
      </w:r>
      <w:r>
        <w:rPr>
          <w:rFonts w:hint="eastAsia" w:ascii="仿宋_GB2312" w:hAnsi="仿宋" w:eastAsia="仿宋_GB2312" w:cs="仿宋_GB2312"/>
          <w:color w:val="000000"/>
          <w:kern w:val="0"/>
          <w:sz w:val="28"/>
          <w:szCs w:val="28"/>
        </w:rPr>
        <w:t>）原创情况</w:t>
      </w:r>
    </w:p>
    <w:p>
      <w:pPr>
        <w:ind w:firstLine="560" w:firstLineChars="200"/>
        <w:rPr>
          <w:rFonts w:ascii="仿宋_GB2312" w:hAnsi="仿宋" w:eastAsia="仿宋_GB2312" w:cs="仿宋_GB2312"/>
          <w:color w:val="000000"/>
          <w:kern w:val="0"/>
          <w:sz w:val="28"/>
          <w:szCs w:val="28"/>
        </w:rPr>
      </w:pPr>
      <w:r>
        <w:rPr>
          <w:rFonts w:hint="eastAsia" w:ascii="仿宋_GB2312" w:hAnsi="仿宋" w:eastAsia="仿宋_GB2312" w:cs="仿宋_GB2312"/>
          <w:color w:val="000000"/>
          <w:kern w:val="0"/>
          <w:sz w:val="28"/>
          <w:szCs w:val="28"/>
        </w:rPr>
        <w:t xml:space="preserve"> “问政杨陵”新浪微博账号，第三季度围绕本职工作发布的原创信息少于3条。</w:t>
      </w:r>
    </w:p>
    <w:p>
      <w:pPr>
        <w:ind w:firstLine="560" w:firstLineChars="200"/>
        <w:outlineLvl w:val="3"/>
        <w:rPr>
          <w:rFonts w:ascii="仿宋_GB2312" w:hAnsi="仿宋" w:eastAsia="仿宋_GB2312" w:cs="仿宋_GB2312"/>
          <w:color w:val="000000"/>
          <w:kern w:val="0"/>
          <w:sz w:val="28"/>
          <w:szCs w:val="28"/>
        </w:rPr>
      </w:pPr>
      <w:r>
        <w:rPr>
          <w:rFonts w:hint="eastAsia" w:ascii="仿宋_GB2312" w:hAnsi="仿宋" w:eastAsia="仿宋_GB2312" w:cs="仿宋_GB2312"/>
          <w:color w:val="000000"/>
          <w:kern w:val="0"/>
          <w:sz w:val="28"/>
          <w:szCs w:val="28"/>
        </w:rPr>
        <w:t>（</w:t>
      </w:r>
      <w:r>
        <w:rPr>
          <w:rFonts w:ascii="仿宋_GB2312" w:hAnsi="仿宋" w:eastAsia="仿宋_GB2312" w:cs="仿宋_GB2312"/>
          <w:color w:val="000000"/>
          <w:kern w:val="0"/>
          <w:sz w:val="28"/>
          <w:szCs w:val="28"/>
        </w:rPr>
        <w:t>2</w:t>
      </w:r>
      <w:r>
        <w:rPr>
          <w:rFonts w:hint="eastAsia" w:ascii="仿宋_GB2312" w:hAnsi="仿宋" w:eastAsia="仿宋_GB2312" w:cs="仿宋_GB2312"/>
          <w:color w:val="000000"/>
          <w:kern w:val="0"/>
          <w:sz w:val="28"/>
          <w:szCs w:val="28"/>
        </w:rPr>
        <w:t>）互动功能</w:t>
      </w:r>
    </w:p>
    <w:p>
      <w:pPr>
        <w:ind w:firstLine="560" w:firstLineChars="200"/>
        <w:rPr>
          <w:rFonts w:ascii="仿宋_GB2312" w:hAnsi="仿宋" w:eastAsia="仿宋_GB2312" w:cs="仿宋_GB2312"/>
          <w:color w:val="000000"/>
          <w:kern w:val="0"/>
          <w:sz w:val="28"/>
          <w:szCs w:val="28"/>
        </w:rPr>
      </w:pPr>
      <w:r>
        <w:rPr>
          <w:rFonts w:hint="eastAsia" w:ascii="仿宋_GB2312" w:hAnsi="仿宋" w:eastAsia="仿宋_GB2312" w:cs="仿宋_GB2312"/>
          <w:color w:val="000000"/>
          <w:kern w:val="0"/>
          <w:sz w:val="28"/>
          <w:szCs w:val="28"/>
        </w:rPr>
        <w:t>杨陵区住建局、杨陵街道、杨陵农业农村局、杨陵招商、法治杨陵、杨陵文旅、杨陵城管、杨陵商务、杨陵区水务局、杨陵区医疗保障局、五泉政务在线、杨陵大寨、杨陵区应急管理、杨陵教育、杨陵区卫生健康局、杨陵区信访局、杨陵供销、杨陵区人力资源和社会保障局、杨陵区揉谷镇政府、杨陵区李台街道办事处、杨陵发展和改革未开设互动交流功能或未有效链接至互动栏目。</w:t>
      </w:r>
    </w:p>
    <w:p>
      <w:pPr>
        <w:rPr>
          <w:rFonts w:ascii="仿宋" w:hAnsi="仿宋" w:eastAsia="仿宋" w:cs="仿宋"/>
          <w:sz w:val="32"/>
          <w:szCs w:val="32"/>
        </w:rPr>
      </w:pPr>
    </w:p>
    <w:p>
      <w:pPr>
        <w:widowControl/>
        <w:jc w:val="left"/>
        <w:rPr>
          <w:rFonts w:ascii="仿宋_GB2312" w:eastAsia="仿宋_GB2312"/>
          <w:sz w:val="32"/>
          <w:szCs w:val="32"/>
        </w:rPr>
      </w:pPr>
      <w:bookmarkStart w:id="2" w:name="_Hlk150806069"/>
      <w:r>
        <w:rPr>
          <w:rFonts w:hint="eastAsia" w:ascii="仿宋_GB2312" w:eastAsia="仿宋_GB2312"/>
          <w:sz w:val="32"/>
          <w:szCs w:val="32"/>
        </w:rPr>
        <w:t>附件2</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管委会办公室（职转办）问题清单</w:t>
      </w:r>
    </w:p>
    <w:p>
      <w:pPr>
        <w:snapToGrid w:val="0"/>
        <w:spacing w:line="560" w:lineRule="exact"/>
        <w:jc w:val="center"/>
        <w:rPr>
          <w:rFonts w:ascii="方正小标宋简体" w:eastAsia="方正小标宋简体"/>
          <w:sz w:val="36"/>
          <w:szCs w:val="36"/>
        </w:rPr>
      </w:pPr>
    </w:p>
    <w:bookmarkEnd w:id="2"/>
    <w:p>
      <w:pPr>
        <w:widowControl/>
        <w:textAlignment w:val="center"/>
        <w:rPr>
          <w:rFonts w:hint="eastAsia" w:ascii="仿宋_GB2312" w:hAnsi="仿宋" w:eastAsia="仿宋_GB2312" w:cs="仿宋_GB2312"/>
          <w:color w:val="000000"/>
          <w:kern w:val="0"/>
          <w:sz w:val="28"/>
          <w:szCs w:val="28"/>
        </w:rPr>
        <w:sectPr>
          <w:pgSz w:w="11906" w:h="16838"/>
          <w:pgMar w:top="1440" w:right="1800" w:bottom="1440" w:left="1800" w:header="851" w:footer="992" w:gutter="0"/>
          <w:cols w:space="425" w:num="1"/>
          <w:docGrid w:type="lines" w:linePitch="312" w:charSpace="0"/>
        </w:sectPr>
      </w:pPr>
      <w:r>
        <w:rPr>
          <w:rFonts w:hint="eastAsia" w:ascii="仿宋_GB2312" w:hAnsi="仿宋" w:eastAsia="仿宋_GB2312" w:cs="仿宋_GB2312"/>
          <w:color w:val="000000"/>
          <w:kern w:val="0"/>
          <w:sz w:val="28"/>
          <w:szCs w:val="28"/>
        </w:rPr>
        <w:t>杨凌示范区网站首页－政务服务－个人办事－按部门、按主题，访问链接至“陕西政务服务网－杨凌示范区”页面，抽查事项，部分服务事项提供的办事指南要素不齐全，缺少设定依据，如“危险化学品生产企业安全生产许可证核发”；部分服务事项咨询电话不准确，如“外国人来华工作许可（不含专家A类）补办审批”；部分服务事项提供的样表内容不准确，如“特种设备使用登记”。</w:t>
      </w:r>
    </w:p>
    <w:p>
      <w:pPr>
        <w:widowControl/>
        <w:jc w:val="left"/>
        <w:rPr>
          <w:rFonts w:ascii="仿宋_GB2312" w:eastAsia="仿宋_GB2312"/>
          <w:sz w:val="32"/>
          <w:szCs w:val="32"/>
        </w:rPr>
      </w:pPr>
      <w:r>
        <w:rPr>
          <w:rFonts w:hint="eastAsia" w:ascii="仿宋_GB2312" w:eastAsia="仿宋_GB2312"/>
          <w:sz w:val="32"/>
          <w:szCs w:val="32"/>
        </w:rPr>
        <w:t>附件3</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示范区民宗局（侨办）问题清单</w:t>
      </w:r>
    </w:p>
    <w:p>
      <w:pPr>
        <w:snapToGrid w:val="0"/>
        <w:spacing w:line="560" w:lineRule="exact"/>
        <w:jc w:val="center"/>
        <w:rPr>
          <w:rFonts w:ascii="方正小标宋简体" w:eastAsia="方正小标宋简体"/>
          <w:sz w:val="36"/>
          <w:szCs w:val="36"/>
        </w:rPr>
      </w:pPr>
    </w:p>
    <w:p>
      <w:pPr>
        <w:ind w:firstLine="560" w:firstLineChars="200"/>
        <w:rPr>
          <w:rFonts w:ascii="仿宋_GB2312" w:hAnsi="仿宋" w:eastAsia="仿宋_GB2312" w:cs="仿宋_GB2312"/>
          <w:kern w:val="0"/>
          <w:sz w:val="28"/>
          <w:szCs w:val="28"/>
        </w:rPr>
      </w:pPr>
      <w:bookmarkStart w:id="3" w:name="_Hlk150806087"/>
      <w:bookmarkStart w:id="4" w:name="_Hlk150806193"/>
      <w:bookmarkStart w:id="5" w:name="_Hlk150806318"/>
      <w:r>
        <w:rPr>
          <w:rFonts w:hint="eastAsia" w:ascii="仿宋_GB2312" w:hAnsi="仿宋" w:eastAsia="仿宋_GB2312" w:cs="仿宋_GB2312"/>
          <w:kern w:val="0"/>
          <w:sz w:val="28"/>
          <w:szCs w:val="28"/>
        </w:rPr>
        <w:t>管委会网站</w:t>
      </w:r>
      <w:bookmarkEnd w:id="3"/>
      <w:bookmarkEnd w:id="4"/>
      <w:r>
        <w:rPr>
          <w:rFonts w:hint="eastAsia" w:ascii="仿宋_GB2312" w:hAnsi="仿宋" w:eastAsia="仿宋_GB2312" w:cs="仿宋_GB2312"/>
          <w:kern w:val="0"/>
          <w:sz w:val="28"/>
          <w:szCs w:val="28"/>
        </w:rPr>
        <w:t>“权责清单”栏目链接至“陕西省权责清单统一发布平台”，缺少行政处罚、行政强制、行政检查事项；抽查“华侨、归侨和侨眷身份认定”，缺少实施依据、监督电话。</w:t>
      </w:r>
    </w:p>
    <w:bookmarkEnd w:id="5"/>
    <w:p>
      <w:pPr>
        <w:snapToGrid w:val="0"/>
        <w:spacing w:line="560" w:lineRule="exact"/>
        <w:jc w:val="center"/>
        <w:rPr>
          <w:rFonts w:ascii="方正小标宋简体" w:eastAsia="方正小标宋简体"/>
          <w:sz w:val="36"/>
          <w:szCs w:val="36"/>
        </w:rPr>
      </w:pPr>
    </w:p>
    <w:p>
      <w:pPr>
        <w:widowControl/>
        <w:textAlignment w:val="center"/>
        <w:rPr>
          <w:rFonts w:hint="eastAsia" w:ascii="仿宋_GB2312" w:hAnsi="仿宋" w:eastAsia="仿宋_GB2312" w:cs="仿宋_GB2312"/>
          <w:color w:val="000000"/>
          <w:kern w:val="0"/>
          <w:sz w:val="28"/>
          <w:szCs w:val="28"/>
        </w:rPr>
        <w:sectPr>
          <w:pgSz w:w="11906" w:h="16838"/>
          <w:pgMar w:top="1440" w:right="1800" w:bottom="1440" w:left="1800" w:header="851" w:footer="992" w:gutter="0"/>
          <w:cols w:space="425" w:num="1"/>
          <w:docGrid w:type="lines" w:linePitch="312" w:charSpace="0"/>
        </w:sectPr>
      </w:pPr>
    </w:p>
    <w:p>
      <w:pPr>
        <w:widowControl/>
        <w:jc w:val="left"/>
        <w:rPr>
          <w:rFonts w:ascii="仿宋_GB2312" w:eastAsia="仿宋_GB2312"/>
          <w:sz w:val="32"/>
          <w:szCs w:val="32"/>
        </w:rPr>
      </w:pPr>
      <w:r>
        <w:rPr>
          <w:rFonts w:hint="eastAsia" w:ascii="仿宋_GB2312" w:eastAsia="仿宋_GB2312"/>
          <w:sz w:val="32"/>
          <w:szCs w:val="32"/>
        </w:rPr>
        <w:t>附件4</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示范区大数据局问题清单</w:t>
      </w:r>
    </w:p>
    <w:p>
      <w:pPr>
        <w:ind w:firstLine="562" w:firstLineChars="200"/>
        <w:rPr>
          <w:rFonts w:ascii="仿宋_GB2312" w:hAnsi="仿宋" w:eastAsia="仿宋_GB2312"/>
          <w:b/>
          <w:sz w:val="28"/>
          <w:szCs w:val="28"/>
        </w:rPr>
      </w:pPr>
    </w:p>
    <w:p>
      <w:pPr>
        <w:ind w:firstLine="560" w:firstLineChars="200"/>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1.</w:t>
      </w:r>
      <w:r>
        <w:rPr>
          <w:rFonts w:hint="eastAsia" w:ascii="仿宋_GB2312" w:hAnsi="仿宋" w:eastAsia="仿宋_GB2312" w:cs="仿宋_GB2312"/>
          <w:color w:val="000000"/>
          <w:kern w:val="0"/>
          <w:sz w:val="28"/>
          <w:szCs w:val="28"/>
        </w:rPr>
        <w:t>管委会网站未及时转载上级政府网站发布的重要政策信息，如“李强总理出席记者会并回答中外记者提问”“习近平在十四届全国人大一次会议上发表重要讲话”。</w:t>
      </w:r>
    </w:p>
    <w:p>
      <w:pPr>
        <w:ind w:firstLine="560" w:firstLineChars="200"/>
        <w:rPr>
          <w:rFonts w:ascii="仿宋_GB2312" w:hAnsi="仿宋" w:eastAsia="仿宋_GB2312" w:cs="仿宋_GB2312"/>
          <w:color w:val="000000"/>
          <w:kern w:val="0"/>
          <w:sz w:val="28"/>
          <w:szCs w:val="28"/>
        </w:rPr>
      </w:pPr>
      <w:r>
        <w:rPr>
          <w:rFonts w:hint="eastAsia" w:ascii="仿宋_GB2312" w:hAnsi="仿宋" w:eastAsia="仿宋_GB2312" w:cs="仿宋_GB2312"/>
          <w:color w:val="000000"/>
          <w:kern w:val="0"/>
          <w:sz w:val="28"/>
          <w:szCs w:val="28"/>
        </w:rPr>
        <w:t>2</w:t>
      </w:r>
      <w:r>
        <w:rPr>
          <w:rFonts w:ascii="仿宋_GB2312" w:hAnsi="仿宋" w:eastAsia="仿宋_GB2312" w:cs="仿宋_GB2312"/>
          <w:color w:val="000000"/>
          <w:kern w:val="0"/>
          <w:sz w:val="28"/>
          <w:szCs w:val="28"/>
        </w:rPr>
        <w:t>.</w:t>
      </w:r>
      <w:r>
        <w:rPr>
          <w:rFonts w:hint="eastAsia" w:ascii="仿宋_GB2312" w:hAnsi="仿宋" w:eastAsia="仿宋_GB2312" w:cs="仿宋_GB2312"/>
          <w:color w:val="000000"/>
          <w:kern w:val="0"/>
          <w:sz w:val="28"/>
          <w:szCs w:val="28"/>
        </w:rPr>
        <w:t>管委会网站未明确提供网站适老化相关服务信息。</w:t>
      </w:r>
    </w:p>
    <w:p>
      <w:pPr>
        <w:ind w:firstLine="560" w:firstLineChars="200"/>
        <w:rPr>
          <w:rFonts w:ascii="仿宋_GB2312" w:hAnsi="仿宋" w:eastAsia="仿宋_GB2312" w:cs="仿宋_GB2312"/>
          <w:color w:val="000000"/>
          <w:kern w:val="0"/>
          <w:sz w:val="28"/>
          <w:szCs w:val="28"/>
        </w:rPr>
      </w:pPr>
      <w:r>
        <w:rPr>
          <w:rFonts w:hint="eastAsia" w:ascii="仿宋_GB2312" w:hAnsi="仿宋" w:eastAsia="仿宋_GB2312" w:cs="仿宋_GB2312"/>
          <w:color w:val="000000"/>
          <w:kern w:val="0"/>
          <w:sz w:val="28"/>
          <w:szCs w:val="28"/>
        </w:rPr>
        <w:t>3</w:t>
      </w:r>
      <w:r>
        <w:rPr>
          <w:rFonts w:ascii="仿宋_GB2312" w:hAnsi="仿宋" w:eastAsia="仿宋_GB2312" w:cs="仿宋_GB2312"/>
          <w:color w:val="000000"/>
          <w:kern w:val="0"/>
          <w:sz w:val="28"/>
          <w:szCs w:val="28"/>
        </w:rPr>
        <w:t>.</w:t>
      </w:r>
      <w:r>
        <w:rPr>
          <w:rFonts w:hint="eastAsia" w:ascii="仿宋_GB2312" w:hAnsi="仿宋" w:eastAsia="仿宋_GB2312" w:cs="仿宋_GB2312"/>
          <w:color w:val="000000"/>
          <w:kern w:val="0"/>
          <w:sz w:val="28"/>
          <w:szCs w:val="28"/>
        </w:rPr>
        <w:t>管委会网站随机选取该地区下级网站上2条信息或服务的标题，通过该地区政府门户网站搜索进行测试，未在搜索结果第一页找到该内容。</w:t>
      </w:r>
    </w:p>
    <w:p>
      <w:pPr>
        <w:ind w:firstLine="560" w:firstLineChars="200"/>
        <w:outlineLvl w:val="3"/>
        <w:rPr>
          <w:rFonts w:ascii="仿宋_GB2312" w:hAnsi="仿宋" w:eastAsia="仿宋_GB2312" w:cs="仿宋_GB2312"/>
          <w:color w:val="000000"/>
          <w:kern w:val="0"/>
          <w:sz w:val="28"/>
          <w:szCs w:val="28"/>
        </w:rPr>
      </w:pPr>
      <w:r>
        <w:rPr>
          <w:rFonts w:hint="eastAsia" w:ascii="仿宋_GB2312" w:hAnsi="仿宋" w:eastAsia="仿宋_GB2312" w:cs="仿宋_GB2312"/>
          <w:color w:val="000000"/>
          <w:kern w:val="0"/>
          <w:sz w:val="28"/>
          <w:szCs w:val="28"/>
        </w:rPr>
        <w:t>4</w:t>
      </w:r>
      <w:r>
        <w:rPr>
          <w:rFonts w:ascii="仿宋_GB2312" w:hAnsi="仿宋" w:eastAsia="仿宋_GB2312" w:cs="仿宋_GB2312"/>
          <w:color w:val="000000"/>
          <w:kern w:val="0"/>
          <w:sz w:val="28"/>
          <w:szCs w:val="28"/>
        </w:rPr>
        <w:t>.</w:t>
      </w:r>
      <w:r>
        <w:rPr>
          <w:rFonts w:hint="eastAsia" w:ascii="仿宋_GB2312" w:hAnsi="仿宋" w:eastAsia="仿宋_GB2312" w:cs="仿宋_GB2312"/>
          <w:color w:val="000000"/>
          <w:kern w:val="0"/>
          <w:sz w:val="28"/>
          <w:szCs w:val="28"/>
        </w:rPr>
        <w:t>管委会网站未明确提供实时智能问答功能。</w:t>
      </w:r>
    </w:p>
    <w:p>
      <w:pPr>
        <w:ind w:firstLine="560" w:firstLineChars="200"/>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5.</w:t>
      </w:r>
      <w:r>
        <w:rPr>
          <w:rFonts w:hint="eastAsia" w:ascii="仿宋_GB2312" w:hAnsi="仿宋" w:eastAsia="仿宋_GB2312" w:cs="仿宋_GB2312"/>
          <w:color w:val="000000"/>
          <w:kern w:val="0"/>
          <w:sz w:val="28"/>
          <w:szCs w:val="28"/>
        </w:rPr>
        <w:t>未在管委会网站“法定主动公开内容—发展规划—专项规划”公开《杨凌示范区数字经济发展“十四五”规划》信息。</w:t>
      </w:r>
    </w:p>
    <w:p/>
    <w:p>
      <w:pPr>
        <w:widowControl/>
        <w:textAlignment w:val="center"/>
        <w:rPr>
          <w:rFonts w:hint="eastAsia" w:ascii="仿宋_GB2312" w:hAnsi="仿宋" w:eastAsia="仿宋_GB2312" w:cs="仿宋_GB2312"/>
          <w:color w:val="000000"/>
          <w:kern w:val="0"/>
          <w:sz w:val="28"/>
          <w:szCs w:val="28"/>
        </w:rPr>
        <w:sectPr>
          <w:pgSz w:w="11906" w:h="16838"/>
          <w:pgMar w:top="1440" w:right="1800" w:bottom="1440" w:left="1800" w:header="851" w:footer="992" w:gutter="0"/>
          <w:cols w:space="425" w:num="1"/>
          <w:docGrid w:type="lines" w:linePitch="312" w:charSpace="0"/>
        </w:sectPr>
      </w:pPr>
    </w:p>
    <w:p>
      <w:pPr>
        <w:widowControl/>
        <w:jc w:val="left"/>
        <w:rPr>
          <w:rFonts w:ascii="仿宋_GB2312" w:eastAsia="仿宋_GB2312"/>
          <w:sz w:val="32"/>
          <w:szCs w:val="32"/>
        </w:rPr>
      </w:pPr>
      <w:r>
        <w:rPr>
          <w:rFonts w:hint="eastAsia" w:ascii="仿宋_GB2312" w:eastAsia="仿宋_GB2312"/>
          <w:sz w:val="32"/>
          <w:szCs w:val="32"/>
        </w:rPr>
        <w:t>附件5</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示范区国际合作局问题清单</w:t>
      </w:r>
    </w:p>
    <w:p>
      <w:pPr>
        <w:snapToGrid w:val="0"/>
        <w:spacing w:line="560" w:lineRule="exact"/>
        <w:jc w:val="center"/>
        <w:rPr>
          <w:rFonts w:ascii="方正小标宋简体" w:eastAsia="方正小标宋简体"/>
          <w:sz w:val="36"/>
          <w:szCs w:val="36"/>
        </w:rPr>
      </w:pP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管委会网站政府信息公开年度报告中，示范区国际合作局</w:t>
      </w:r>
      <w:r>
        <w:rPr>
          <w:rFonts w:ascii="仿宋_GB2312" w:hAnsi="仿宋" w:eastAsia="仿宋_GB2312" w:cs="仿宋_GB2312"/>
          <w:kern w:val="0"/>
          <w:sz w:val="28"/>
          <w:szCs w:val="28"/>
        </w:rPr>
        <w:t>未使用国办公开办函〔2021〕30号文要求的表格。</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2</w:t>
      </w:r>
      <w:r>
        <w:rPr>
          <w:rFonts w:ascii="仿宋_GB2312" w:hAnsi="仿宋" w:eastAsia="仿宋_GB2312" w:cs="仿宋_GB2312"/>
          <w:kern w:val="0"/>
          <w:sz w:val="28"/>
          <w:szCs w:val="28"/>
        </w:rPr>
        <w:t>.</w:t>
      </w:r>
      <w:bookmarkStart w:id="6" w:name="_Hlk150806694"/>
      <w:r>
        <w:rPr>
          <w:rFonts w:hint="eastAsia" w:ascii="仿宋_GB2312" w:hAnsi="仿宋" w:eastAsia="仿宋_GB2312" w:cs="仿宋_GB2312"/>
          <w:kern w:val="0"/>
          <w:sz w:val="28"/>
          <w:szCs w:val="28"/>
        </w:rPr>
        <w:t>未在管委会网站“法定主动公开内容—发展规划—专项规划”公开《上海合作组织农业技术交流培训示范基地建设“十四五”规划》信息。</w:t>
      </w:r>
      <w:bookmarkEnd w:id="6"/>
    </w:p>
    <w:p>
      <w:pPr>
        <w:widowControl/>
        <w:textAlignment w:val="center"/>
        <w:rPr>
          <w:rFonts w:hint="eastAsia" w:ascii="仿宋_GB2312" w:hAnsi="仿宋" w:eastAsia="仿宋_GB2312" w:cs="仿宋_GB2312"/>
          <w:color w:val="000000"/>
          <w:kern w:val="0"/>
          <w:sz w:val="28"/>
          <w:szCs w:val="28"/>
        </w:rPr>
        <w:sectPr>
          <w:pgSz w:w="11906" w:h="16838"/>
          <w:pgMar w:top="1440" w:right="1800" w:bottom="1440" w:left="1800" w:header="851" w:footer="992" w:gutter="0"/>
          <w:cols w:space="425" w:num="1"/>
          <w:docGrid w:type="lines" w:linePitch="312" w:charSpace="0"/>
        </w:sectPr>
      </w:pPr>
    </w:p>
    <w:p>
      <w:pPr>
        <w:widowControl/>
        <w:jc w:val="left"/>
        <w:rPr>
          <w:rFonts w:ascii="仿宋_GB2312" w:eastAsia="仿宋_GB2312"/>
          <w:sz w:val="32"/>
          <w:szCs w:val="32"/>
        </w:rPr>
      </w:pPr>
      <w:r>
        <w:rPr>
          <w:rFonts w:hint="eastAsia" w:ascii="仿宋_GB2312" w:eastAsia="仿宋_GB2312"/>
          <w:sz w:val="32"/>
          <w:szCs w:val="32"/>
        </w:rPr>
        <w:t>附件6</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示范区发展改革局问题清单</w:t>
      </w:r>
    </w:p>
    <w:p>
      <w:pPr>
        <w:rPr>
          <w:rFonts w:ascii="仿宋" w:hAnsi="仿宋" w:eastAsia="仿宋" w:cs="仿宋"/>
          <w:b/>
          <w:bCs/>
          <w:sz w:val="32"/>
          <w:szCs w:val="32"/>
        </w:rPr>
      </w:pP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管委会网站—法定主动公开内容—机构信息栏目链接至本部门网站首页，机构职能信息公开不全。</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2</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示范区发展和改革局网站未设置“行政规范性文件”栏目。</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3</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管委会网站未查询到本地区“十四五”区域规划。本地区“十四五”专项规划公开不全。本地区历史国民经济和社会发展规划纲要公开不全。</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4</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管委会网站未查询到</w:t>
      </w:r>
      <w:r>
        <w:rPr>
          <w:rFonts w:ascii="仿宋_GB2312" w:hAnsi="仿宋" w:eastAsia="仿宋_GB2312" w:cs="仿宋_GB2312"/>
          <w:kern w:val="0"/>
          <w:sz w:val="28"/>
          <w:szCs w:val="28"/>
        </w:rPr>
        <w:t>高质量项目推进年亮点工作、典型做法</w:t>
      </w:r>
      <w:r>
        <w:rPr>
          <w:rFonts w:hint="eastAsia" w:ascii="仿宋_GB2312" w:hAnsi="仿宋" w:eastAsia="仿宋_GB2312" w:cs="仿宋_GB2312"/>
          <w:kern w:val="0"/>
          <w:sz w:val="28"/>
          <w:szCs w:val="28"/>
        </w:rPr>
        <w:t>信息；未在政府信息公开栏目中查询到节能审查意见、建设项目选址意见审批结果、建设项目用地预审结果、建设项目使用林地审核结果、建设用地规划许可证审批结果、建设工程规划类许可审批结果、施工许可审批结果、招标事项审批核准结果，取水许可、水土保持方案、洪水影响评价等涉水事项审批结果等信息；未查询到2023年征地告知书以及履行征地报批前程序的相关证明材料、建设项目用地呈报说明书、农用地转用方案、补充耕地方案、征收土地方案、供地方案、征地批后实施中征地公告、征地补偿安置方案公告等征收土地信息；未查询到项目法人单位及其主要负责人信息，设计、施工、监理单位及其主要负责人、项目负责人信息、资质情况，施工单位项目管理机构设置、工作职责、主要管理制度，施工期环境保护措施落实情况等施工信息；未查询到</w:t>
      </w:r>
      <w:r>
        <w:rPr>
          <w:rFonts w:ascii="仿宋_GB2312" w:hAnsi="仿宋" w:eastAsia="仿宋_GB2312" w:cs="仿宋_GB2312"/>
          <w:kern w:val="0"/>
          <w:sz w:val="28"/>
          <w:szCs w:val="28"/>
        </w:rPr>
        <w:t>竣工验收时间、竣工验收结果，竣工验收备案时间、备案编号、备案部门</w:t>
      </w:r>
      <w:r>
        <w:rPr>
          <w:rFonts w:hint="eastAsia" w:ascii="仿宋_GB2312" w:hAnsi="仿宋" w:eastAsia="仿宋_GB2312" w:cs="仿宋_GB2312"/>
          <w:kern w:val="0"/>
          <w:sz w:val="28"/>
          <w:szCs w:val="28"/>
        </w:rPr>
        <w:t>等竣工信息</w:t>
      </w:r>
      <w:r>
        <w:rPr>
          <w:rFonts w:ascii="仿宋_GB2312" w:hAnsi="仿宋" w:eastAsia="仿宋_GB2312" w:cs="仿宋_GB2312"/>
          <w:kern w:val="0"/>
          <w:sz w:val="28"/>
          <w:szCs w:val="28"/>
        </w:rPr>
        <w:t>。</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5</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示范区发展和改革局网站</w:t>
      </w:r>
      <w:r>
        <w:rPr>
          <w:rFonts w:ascii="仿宋_GB2312" w:hAnsi="仿宋" w:eastAsia="仿宋_GB2312" w:cs="仿宋_GB2312"/>
          <w:kern w:val="0"/>
          <w:sz w:val="28"/>
          <w:szCs w:val="28"/>
        </w:rPr>
        <w:t>高质量项目</w:t>
      </w:r>
      <w:r>
        <w:rPr>
          <w:rFonts w:hint="eastAsia" w:ascii="仿宋_GB2312" w:hAnsi="仿宋" w:eastAsia="仿宋_GB2312" w:cs="仿宋_GB2312"/>
          <w:kern w:val="0"/>
          <w:sz w:val="28"/>
          <w:szCs w:val="28"/>
        </w:rPr>
        <w:t>名单和高质量项目</w:t>
      </w:r>
      <w:r>
        <w:rPr>
          <w:rFonts w:ascii="仿宋_GB2312" w:hAnsi="仿宋" w:eastAsia="仿宋_GB2312" w:cs="仿宋_GB2312"/>
          <w:kern w:val="0"/>
          <w:sz w:val="28"/>
          <w:szCs w:val="28"/>
        </w:rPr>
        <w:t>推进年</w:t>
      </w:r>
      <w:r>
        <w:rPr>
          <w:rFonts w:hint="eastAsia" w:ascii="仿宋_GB2312" w:hAnsi="仿宋" w:eastAsia="仿宋_GB2312" w:cs="仿宋_GB2312"/>
          <w:kern w:val="0"/>
          <w:sz w:val="28"/>
          <w:szCs w:val="28"/>
        </w:rPr>
        <w:t>工作情况、</w:t>
      </w:r>
      <w:r>
        <w:rPr>
          <w:rFonts w:ascii="仿宋_GB2312" w:hAnsi="仿宋" w:eastAsia="仿宋_GB2312" w:cs="仿宋_GB2312"/>
          <w:kern w:val="0"/>
          <w:sz w:val="28"/>
          <w:szCs w:val="28"/>
        </w:rPr>
        <w:t>亮点工作、典型做法</w:t>
      </w:r>
      <w:r>
        <w:rPr>
          <w:rFonts w:hint="eastAsia" w:ascii="仿宋_GB2312" w:hAnsi="仿宋" w:eastAsia="仿宋_GB2312" w:cs="仿宋_GB2312"/>
          <w:kern w:val="0"/>
          <w:sz w:val="28"/>
          <w:szCs w:val="28"/>
        </w:rPr>
        <w:t>信息公开不全。</w:t>
      </w:r>
    </w:p>
    <w:p>
      <w:pPr>
        <w:tabs>
          <w:tab w:val="left" w:pos="735"/>
        </w:tabs>
        <w:ind w:firstLine="560" w:firstLineChars="200"/>
      </w:pPr>
      <w:r>
        <w:rPr>
          <w:rFonts w:ascii="仿宋_GB2312" w:hAnsi="仿宋" w:eastAsia="仿宋_GB2312" w:cs="仿宋_GB2312"/>
          <w:kern w:val="0"/>
          <w:sz w:val="28"/>
          <w:szCs w:val="28"/>
        </w:rPr>
        <w:t>6.</w:t>
      </w:r>
      <w:r>
        <w:rPr>
          <w:rFonts w:hint="eastAsia" w:ascii="仿宋_GB2312" w:hAnsi="仿宋" w:eastAsia="仿宋_GB2312" w:cs="仿宋_GB2312"/>
          <w:kern w:val="0"/>
          <w:sz w:val="28"/>
          <w:szCs w:val="28"/>
        </w:rPr>
        <w:t>示范区发展和改革局未公开优化营商环境政策措施和涉企收费目录清单信息。</w:t>
      </w:r>
    </w:p>
    <w:p>
      <w:pPr>
        <w:tabs>
          <w:tab w:val="left" w:pos="630"/>
        </w:tabs>
        <w:rPr>
          <w:rFonts w:ascii="仿宋_GB2312" w:hAnsi="仿宋" w:eastAsia="仿宋_GB2312" w:cs="仿宋_GB2312"/>
          <w:kern w:val="0"/>
          <w:sz w:val="28"/>
          <w:szCs w:val="28"/>
        </w:rPr>
      </w:pPr>
      <w:r>
        <w:rPr>
          <w:rFonts w:ascii="仿宋_GB2312" w:hAnsi="仿宋" w:eastAsia="仿宋_GB2312" w:cs="仿宋_GB2312"/>
          <w:kern w:val="0"/>
          <w:sz w:val="28"/>
          <w:szCs w:val="28"/>
        </w:rPr>
        <w:tab/>
      </w:r>
      <w:r>
        <w:rPr>
          <w:rFonts w:ascii="仿宋_GB2312" w:hAnsi="仿宋" w:eastAsia="仿宋_GB2312" w:cs="仿宋_GB2312"/>
          <w:kern w:val="0"/>
          <w:sz w:val="28"/>
          <w:szCs w:val="28"/>
        </w:rPr>
        <w:t>7.</w:t>
      </w:r>
      <w:r>
        <w:rPr>
          <w:rFonts w:hint="eastAsia" w:ascii="仿宋_GB2312" w:hAnsi="仿宋" w:eastAsia="仿宋_GB2312" w:cs="仿宋_GB2312"/>
          <w:kern w:val="0"/>
          <w:sz w:val="28"/>
          <w:szCs w:val="28"/>
        </w:rPr>
        <w:t>管委会网站和示范区发展和改革局网站未查询到关于提升黄河生态保护水平、推进碳达峰碳中和的环境管理、监督检查信息。</w:t>
      </w:r>
    </w:p>
    <w:p>
      <w:pPr>
        <w:tabs>
          <w:tab w:val="left" w:pos="630"/>
        </w:tabs>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8</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未对《杨凌示范区2023年重点建设项目暨政府投资基本建设项目计划》政策背景依据方面进行实质性解读。</w:t>
      </w:r>
    </w:p>
    <w:p>
      <w:pPr>
        <w:tabs>
          <w:tab w:val="left" w:pos="630"/>
        </w:tabs>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9</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管委会网站“权责清单”栏目链接至“陕西省权责清单统一发布平台”，缺少行政处罚、行政强制、行政检查事项。</w:t>
      </w:r>
    </w:p>
    <w:p>
      <w:pPr>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10.</w:t>
      </w:r>
      <w:r>
        <w:rPr>
          <w:rFonts w:hint="eastAsia" w:ascii="仿宋_GB2312" w:hAnsi="仿宋" w:eastAsia="仿宋_GB2312" w:cs="仿宋_GB2312"/>
          <w:kern w:val="0"/>
          <w:sz w:val="28"/>
          <w:szCs w:val="28"/>
        </w:rPr>
        <w:t>未在管委会网站“法定主动公开内容—发展规划—专项规划”公开《杨凌示范区服务业高质量发展“十四五”规划》信息。</w:t>
      </w:r>
    </w:p>
    <w:p>
      <w:pPr>
        <w:tabs>
          <w:tab w:val="left" w:pos="630"/>
        </w:tabs>
        <w:ind w:firstLine="560" w:firstLineChars="200"/>
        <w:rPr>
          <w:rFonts w:ascii="仿宋_GB2312" w:hAnsi="仿宋" w:eastAsia="仿宋_GB2312" w:cs="仿宋_GB2312"/>
          <w:kern w:val="0"/>
          <w:sz w:val="28"/>
          <w:szCs w:val="28"/>
        </w:rPr>
      </w:pPr>
    </w:p>
    <w:p>
      <w:pPr>
        <w:widowControl/>
        <w:textAlignment w:val="center"/>
        <w:rPr>
          <w:rFonts w:hint="eastAsia" w:ascii="仿宋_GB2312" w:hAnsi="仿宋" w:eastAsia="仿宋_GB2312" w:cs="仿宋_GB2312"/>
          <w:color w:val="000000"/>
          <w:kern w:val="0"/>
          <w:sz w:val="28"/>
          <w:szCs w:val="28"/>
        </w:rPr>
        <w:sectPr>
          <w:pgSz w:w="11906" w:h="16838"/>
          <w:pgMar w:top="1440" w:right="1800" w:bottom="1440" w:left="1800" w:header="851" w:footer="992" w:gutter="0"/>
          <w:cols w:space="425" w:num="1"/>
          <w:docGrid w:type="lines" w:linePitch="312" w:charSpace="0"/>
        </w:sectPr>
      </w:pPr>
    </w:p>
    <w:p>
      <w:pPr>
        <w:widowControl/>
        <w:jc w:val="left"/>
        <w:rPr>
          <w:rFonts w:ascii="仿宋_GB2312" w:eastAsia="仿宋_GB2312"/>
          <w:sz w:val="32"/>
          <w:szCs w:val="32"/>
        </w:rPr>
      </w:pPr>
      <w:r>
        <w:rPr>
          <w:rFonts w:hint="eastAsia" w:ascii="仿宋_GB2312" w:eastAsia="仿宋_GB2312"/>
          <w:sz w:val="32"/>
          <w:szCs w:val="32"/>
        </w:rPr>
        <w:t>附件7</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示范区教育局问题清单</w:t>
      </w:r>
    </w:p>
    <w:p>
      <w:pPr>
        <w:rPr>
          <w:rFonts w:ascii="仿宋" w:hAnsi="仿宋" w:eastAsia="仿宋" w:cs="仿宋"/>
          <w:b/>
          <w:bCs/>
          <w:sz w:val="32"/>
          <w:szCs w:val="32"/>
        </w:rPr>
      </w:pP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管委会网站—法定主动公开内容—机构信息栏目链接至本部门网站首页，机构职能信息公开不全。</w:t>
      </w:r>
    </w:p>
    <w:p>
      <w:pPr>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2.</w:t>
      </w:r>
      <w:r>
        <w:rPr>
          <w:rFonts w:hint="eastAsia" w:ascii="仿宋_GB2312" w:hAnsi="仿宋" w:eastAsia="仿宋_GB2312" w:cs="仿宋_GB2312"/>
          <w:kern w:val="0"/>
          <w:sz w:val="28"/>
          <w:szCs w:val="28"/>
        </w:rPr>
        <w:t>管委会网站未查询到义务教育招生方案、招生范围、招生程序、报名条件、学校情况、录取结果、咨询方式、奖助学金等信息。</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3</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示范区教育局网站未查询到2023年对示范区人大代表建议、政协提案的复函。</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4</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示范区教育局网站未查询到义务教育学校情况、录取结果、奖助学金等信息。</w:t>
      </w:r>
    </w:p>
    <w:p>
      <w:pPr>
        <w:tabs>
          <w:tab w:val="left" w:pos="630"/>
        </w:tabs>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5.</w:t>
      </w:r>
      <w:r>
        <w:rPr>
          <w:rFonts w:hint="eastAsia" w:ascii="仿宋_GB2312" w:hAnsi="仿宋" w:eastAsia="仿宋_GB2312" w:cs="仿宋_GB2312"/>
          <w:kern w:val="0"/>
          <w:sz w:val="28"/>
          <w:szCs w:val="28"/>
        </w:rPr>
        <w:t>管委会网站“权责清单”栏目链接至“陕西省权责清单统一发布平台”，缺少行政处罚、行政强制、行政检查事项。</w:t>
      </w:r>
    </w:p>
    <w:p>
      <w:pPr>
        <w:tabs>
          <w:tab w:val="left" w:pos="705"/>
        </w:tabs>
      </w:pPr>
    </w:p>
    <w:p>
      <w:pPr>
        <w:widowControl/>
        <w:textAlignment w:val="center"/>
        <w:rPr>
          <w:rFonts w:hint="eastAsia" w:ascii="仿宋_GB2312" w:hAnsi="仿宋" w:eastAsia="仿宋_GB2312" w:cs="仿宋_GB2312"/>
          <w:color w:val="000000"/>
          <w:kern w:val="0"/>
          <w:sz w:val="28"/>
          <w:szCs w:val="28"/>
        </w:rPr>
        <w:sectPr>
          <w:pgSz w:w="11906" w:h="16838"/>
          <w:pgMar w:top="1440" w:right="1800" w:bottom="1440" w:left="1800" w:header="851" w:footer="992" w:gutter="0"/>
          <w:cols w:space="425" w:num="1"/>
          <w:docGrid w:type="lines" w:linePitch="312" w:charSpace="0"/>
        </w:sectPr>
      </w:pPr>
    </w:p>
    <w:p>
      <w:pPr>
        <w:widowControl/>
        <w:jc w:val="left"/>
        <w:rPr>
          <w:rFonts w:ascii="仿宋_GB2312" w:eastAsia="仿宋_GB2312"/>
          <w:sz w:val="32"/>
          <w:szCs w:val="32"/>
        </w:rPr>
      </w:pPr>
      <w:r>
        <w:rPr>
          <w:rFonts w:hint="eastAsia" w:ascii="仿宋_GB2312" w:eastAsia="仿宋_GB2312"/>
          <w:sz w:val="32"/>
          <w:szCs w:val="32"/>
        </w:rPr>
        <w:t>附件8</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示范区科技创新局问题清单</w:t>
      </w:r>
    </w:p>
    <w:p>
      <w:pPr>
        <w:rPr>
          <w:rFonts w:ascii="仿宋" w:hAnsi="仿宋" w:eastAsia="仿宋" w:cs="仿宋"/>
          <w:b/>
          <w:bCs/>
          <w:sz w:val="32"/>
          <w:szCs w:val="32"/>
        </w:rPr>
      </w:pP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1.管委会网站—法定主动公开内容—机构信息栏目链接至本部门网站首页，机构职能信息公开不全。</w:t>
      </w:r>
    </w:p>
    <w:p>
      <w:pPr>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2.</w:t>
      </w:r>
      <w:r>
        <w:rPr>
          <w:rFonts w:hint="eastAsia" w:ascii="仿宋_GB2312" w:hAnsi="仿宋" w:eastAsia="仿宋_GB2312" w:cs="仿宋_GB2312"/>
          <w:kern w:val="0"/>
          <w:sz w:val="28"/>
          <w:szCs w:val="28"/>
        </w:rPr>
        <w:t>示范区科技创新和转化推广局网站未公开营商环境突破年工作情况、亮点工作、典型做法信息，优化营商环境政策措施和涉企收费目录清单信息公开不全。</w:t>
      </w:r>
    </w:p>
    <w:p>
      <w:pPr>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3.</w:t>
      </w:r>
      <w:r>
        <w:rPr>
          <w:rFonts w:hint="eastAsia" w:ascii="仿宋_GB2312" w:hAnsi="仿宋" w:eastAsia="仿宋_GB2312" w:cs="仿宋_GB2312"/>
          <w:kern w:val="0"/>
          <w:sz w:val="28"/>
          <w:szCs w:val="28"/>
        </w:rPr>
        <w:t>示范区科技创新和转化推广局网站未查询到对本部门制定政策进行解读的信息。</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4</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未在管委会网站“法定主动公开内容—发展规划—专项规划”公开《杨凌示范区农业科技创新与示范推广“十四五”规划》信息。</w:t>
      </w:r>
    </w:p>
    <w:p>
      <w:pPr>
        <w:ind w:firstLine="560" w:firstLineChars="200"/>
        <w:rPr>
          <w:rFonts w:ascii="仿宋_GB2312" w:hAnsi="仿宋" w:eastAsia="仿宋_GB2312" w:cs="仿宋_GB2312"/>
          <w:kern w:val="0"/>
          <w:sz w:val="28"/>
          <w:szCs w:val="28"/>
        </w:rPr>
      </w:pPr>
    </w:p>
    <w:p>
      <w:pPr>
        <w:tabs>
          <w:tab w:val="left" w:pos="1065"/>
        </w:tabs>
      </w:pPr>
    </w:p>
    <w:p>
      <w:pPr>
        <w:widowControl/>
        <w:textAlignment w:val="center"/>
        <w:rPr>
          <w:rFonts w:hint="eastAsia" w:ascii="仿宋_GB2312" w:hAnsi="仿宋" w:eastAsia="仿宋_GB2312" w:cs="仿宋_GB2312"/>
          <w:color w:val="000000"/>
          <w:kern w:val="0"/>
          <w:sz w:val="28"/>
          <w:szCs w:val="28"/>
        </w:rPr>
        <w:sectPr>
          <w:pgSz w:w="11906" w:h="16838"/>
          <w:pgMar w:top="1440" w:right="1800" w:bottom="1440" w:left="1800" w:header="851" w:footer="992" w:gutter="0"/>
          <w:cols w:space="425" w:num="1"/>
          <w:docGrid w:type="lines" w:linePitch="312" w:charSpace="0"/>
        </w:sectPr>
      </w:pPr>
    </w:p>
    <w:p>
      <w:pPr>
        <w:widowControl/>
        <w:jc w:val="left"/>
        <w:rPr>
          <w:rFonts w:ascii="仿宋_GB2312" w:eastAsia="仿宋_GB2312"/>
          <w:sz w:val="32"/>
          <w:szCs w:val="32"/>
        </w:rPr>
      </w:pPr>
      <w:bookmarkStart w:id="7" w:name="_Hlk150806289"/>
      <w:r>
        <w:rPr>
          <w:rFonts w:hint="eastAsia" w:ascii="仿宋_GB2312" w:eastAsia="仿宋_GB2312"/>
          <w:sz w:val="32"/>
          <w:szCs w:val="32"/>
        </w:rPr>
        <w:t>附件9</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示范区工业商务局问题清单</w:t>
      </w:r>
    </w:p>
    <w:p>
      <w:pPr>
        <w:rPr>
          <w:rFonts w:ascii="方正小标宋简体" w:eastAsia="方正小标宋简体"/>
          <w:sz w:val="36"/>
          <w:szCs w:val="36"/>
        </w:rPr>
      </w:pP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1.管委会网站—法定主动公开内容—机构信息栏目链接至本部门网站首页，机构职能信息公开不全。</w:t>
      </w:r>
    </w:p>
    <w:bookmarkEnd w:id="7"/>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2</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未在管委会网站“法定主动公开内容—发展规划—专项规划”公开《杨凌示范区制造业高质量发展“十四五”专项规划》信息。</w:t>
      </w:r>
    </w:p>
    <w:p>
      <w:pPr>
        <w:tabs>
          <w:tab w:val="left" w:pos="630"/>
        </w:tabs>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3.</w:t>
      </w:r>
      <w:r>
        <w:rPr>
          <w:rFonts w:hint="eastAsia" w:ascii="仿宋_GB2312" w:hAnsi="仿宋" w:eastAsia="仿宋_GB2312" w:cs="仿宋_GB2312"/>
          <w:kern w:val="0"/>
          <w:sz w:val="28"/>
          <w:szCs w:val="28"/>
        </w:rPr>
        <w:t>管委会网站“权责清单”栏目链接至“陕西省权责清单统一发布平台”，缺少行政处罚、行政强制、行政检查事项。</w:t>
      </w:r>
    </w:p>
    <w:p>
      <w:pPr>
        <w:ind w:firstLine="560" w:firstLineChars="200"/>
        <w:rPr>
          <w:rFonts w:ascii="仿宋_GB2312" w:hAnsi="仿宋" w:eastAsia="仿宋_GB2312" w:cs="仿宋_GB2312"/>
          <w:kern w:val="0"/>
          <w:sz w:val="28"/>
          <w:szCs w:val="28"/>
        </w:rPr>
      </w:pPr>
    </w:p>
    <w:p>
      <w:pPr>
        <w:widowControl/>
        <w:textAlignment w:val="center"/>
        <w:rPr>
          <w:rFonts w:hint="eastAsia" w:ascii="仿宋_GB2312" w:hAnsi="仿宋" w:eastAsia="仿宋_GB2312" w:cs="仿宋_GB2312"/>
          <w:color w:val="000000"/>
          <w:kern w:val="0"/>
          <w:sz w:val="28"/>
          <w:szCs w:val="28"/>
        </w:rPr>
        <w:sectPr>
          <w:pgSz w:w="11906" w:h="16838"/>
          <w:pgMar w:top="1440" w:right="1800" w:bottom="1440" w:left="1800" w:header="851" w:footer="992" w:gutter="0"/>
          <w:cols w:space="425" w:num="1"/>
          <w:docGrid w:type="lines" w:linePitch="312" w:charSpace="0"/>
        </w:sectPr>
      </w:pPr>
    </w:p>
    <w:p>
      <w:pPr>
        <w:widowControl/>
        <w:jc w:val="left"/>
        <w:rPr>
          <w:rFonts w:ascii="仿宋_GB2312" w:eastAsia="仿宋_GB2312"/>
          <w:sz w:val="32"/>
          <w:szCs w:val="32"/>
        </w:rPr>
      </w:pPr>
      <w:r>
        <w:rPr>
          <w:rFonts w:hint="eastAsia" w:ascii="仿宋_GB2312" w:eastAsia="仿宋_GB2312"/>
          <w:sz w:val="32"/>
          <w:szCs w:val="32"/>
        </w:rPr>
        <w:t>附件1</w:t>
      </w:r>
      <w:r>
        <w:rPr>
          <w:rFonts w:ascii="仿宋_GB2312" w:eastAsia="仿宋_GB2312"/>
          <w:sz w:val="32"/>
          <w:szCs w:val="32"/>
        </w:rPr>
        <w:t>0</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示范区公安局问题清单</w:t>
      </w:r>
    </w:p>
    <w:p>
      <w:pPr>
        <w:snapToGrid w:val="0"/>
        <w:spacing w:line="560" w:lineRule="exact"/>
        <w:jc w:val="center"/>
        <w:rPr>
          <w:rFonts w:ascii="方正小标宋简体" w:eastAsia="方正小标宋简体"/>
          <w:sz w:val="36"/>
          <w:szCs w:val="36"/>
        </w:rPr>
      </w:pP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管委会网站—法定主动公开内容—机构信息栏目链接至本部门网站首页，机构职能信息公开不全。</w:t>
      </w:r>
    </w:p>
    <w:p>
      <w:pPr>
        <w:tabs>
          <w:tab w:val="left" w:pos="630"/>
        </w:tabs>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2.</w:t>
      </w:r>
      <w:r>
        <w:rPr>
          <w:rFonts w:hint="eastAsia" w:ascii="仿宋_GB2312" w:hAnsi="仿宋" w:eastAsia="仿宋_GB2312" w:cs="仿宋_GB2312"/>
          <w:kern w:val="0"/>
          <w:sz w:val="28"/>
          <w:szCs w:val="28"/>
        </w:rPr>
        <w:t>管委会网站“权责清单”栏目链接至“陕西省权责清单统一发布平台”，缺少行政处罚、行政强制、行政检查事项。</w:t>
      </w:r>
    </w:p>
    <w:p>
      <w:pPr>
        <w:ind w:firstLine="420" w:firstLineChars="200"/>
      </w:pPr>
    </w:p>
    <w:p>
      <w:pPr>
        <w:widowControl/>
        <w:textAlignment w:val="center"/>
        <w:rPr>
          <w:rFonts w:hint="eastAsia" w:ascii="仿宋_GB2312" w:hAnsi="仿宋" w:eastAsia="仿宋_GB2312" w:cs="仿宋_GB2312"/>
          <w:color w:val="000000"/>
          <w:kern w:val="0"/>
          <w:sz w:val="28"/>
          <w:szCs w:val="28"/>
        </w:rPr>
        <w:sectPr>
          <w:pgSz w:w="11906" w:h="16838"/>
          <w:pgMar w:top="1440" w:right="1800" w:bottom="1440" w:left="1800" w:header="851" w:footer="992" w:gutter="0"/>
          <w:cols w:space="425" w:num="1"/>
          <w:docGrid w:type="lines" w:linePitch="312" w:charSpace="0"/>
        </w:sectPr>
      </w:pPr>
    </w:p>
    <w:p>
      <w:pPr>
        <w:widowControl/>
        <w:jc w:val="left"/>
        <w:rPr>
          <w:rFonts w:ascii="仿宋_GB2312" w:eastAsia="仿宋_GB2312"/>
          <w:sz w:val="32"/>
          <w:szCs w:val="32"/>
        </w:rPr>
      </w:pPr>
      <w:r>
        <w:rPr>
          <w:rFonts w:hint="eastAsia" w:ascii="仿宋_GB2312" w:eastAsia="仿宋_GB2312"/>
          <w:sz w:val="32"/>
          <w:szCs w:val="32"/>
        </w:rPr>
        <w:t>附件1</w:t>
      </w:r>
      <w:r>
        <w:rPr>
          <w:rFonts w:ascii="仿宋_GB2312" w:eastAsia="仿宋_GB2312"/>
          <w:sz w:val="32"/>
          <w:szCs w:val="32"/>
        </w:rPr>
        <w:t>1</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示范区财政局问题清单</w:t>
      </w:r>
    </w:p>
    <w:p>
      <w:pPr>
        <w:rPr>
          <w:rFonts w:ascii="仿宋" w:hAnsi="仿宋" w:eastAsia="仿宋" w:cs="仿宋"/>
          <w:b/>
          <w:bCs/>
          <w:sz w:val="32"/>
          <w:szCs w:val="32"/>
        </w:rPr>
      </w:pP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1.管委会网站—法定主动公开内容—机构信息栏目链接至本部门网站首页，机构职能信息公开不全。</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2</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管委会网站未设置涉农补贴类栏目。</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3</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示范区财政局网站</w:t>
      </w:r>
      <w:bookmarkStart w:id="8" w:name="_Hlk150845013"/>
      <w:r>
        <w:rPr>
          <w:rFonts w:hint="eastAsia" w:ascii="仿宋_GB2312" w:hAnsi="仿宋" w:eastAsia="仿宋_GB2312" w:cs="仿宋_GB2312"/>
          <w:kern w:val="0"/>
          <w:sz w:val="28"/>
          <w:szCs w:val="28"/>
        </w:rPr>
        <w:t>未公开营商环境突破年工作情况、亮点工作、典型做法信息</w:t>
      </w:r>
      <w:bookmarkEnd w:id="8"/>
      <w:r>
        <w:rPr>
          <w:rFonts w:hint="eastAsia" w:ascii="仿宋_GB2312" w:hAnsi="仿宋" w:eastAsia="仿宋_GB2312" w:cs="仿宋_GB2312"/>
          <w:kern w:val="0"/>
          <w:sz w:val="28"/>
          <w:szCs w:val="28"/>
        </w:rPr>
        <w:t>，优化营商环境政策措施和涉企收费目录清单信息公开不全。</w:t>
      </w:r>
    </w:p>
    <w:p>
      <w:pPr>
        <w:tabs>
          <w:tab w:val="left" w:pos="630"/>
        </w:tabs>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4.</w:t>
      </w:r>
      <w:r>
        <w:rPr>
          <w:rFonts w:hint="eastAsia" w:ascii="仿宋_GB2312" w:hAnsi="仿宋" w:eastAsia="仿宋_GB2312" w:cs="仿宋_GB2312"/>
          <w:kern w:val="0"/>
          <w:sz w:val="28"/>
          <w:szCs w:val="28"/>
        </w:rPr>
        <w:t>管委会网站“权责清单”栏目链接至“陕西省权责清单统一发布平台”，缺少行政处罚、行政强制、行政检查事项。</w:t>
      </w:r>
    </w:p>
    <w:p>
      <w:pPr>
        <w:ind w:firstLine="560" w:firstLineChars="200"/>
        <w:rPr>
          <w:rFonts w:ascii="仿宋_GB2312" w:hAnsi="仿宋" w:eastAsia="仿宋_GB2312" w:cs="仿宋_GB2312"/>
          <w:kern w:val="0"/>
          <w:sz w:val="28"/>
          <w:szCs w:val="28"/>
        </w:rPr>
      </w:pPr>
    </w:p>
    <w:p>
      <w:pPr>
        <w:widowControl/>
        <w:textAlignment w:val="center"/>
        <w:rPr>
          <w:rFonts w:hint="eastAsia" w:ascii="仿宋_GB2312" w:hAnsi="仿宋" w:eastAsia="仿宋_GB2312" w:cs="仿宋_GB2312"/>
          <w:color w:val="000000"/>
          <w:kern w:val="0"/>
          <w:sz w:val="28"/>
          <w:szCs w:val="28"/>
        </w:rPr>
        <w:sectPr>
          <w:pgSz w:w="11906" w:h="16838"/>
          <w:pgMar w:top="1440" w:right="1800" w:bottom="1440" w:left="1800" w:header="851" w:footer="992" w:gutter="0"/>
          <w:cols w:space="425" w:num="1"/>
          <w:docGrid w:type="lines" w:linePitch="312" w:charSpace="0"/>
        </w:sectPr>
      </w:pPr>
    </w:p>
    <w:p>
      <w:pPr>
        <w:widowControl/>
        <w:jc w:val="left"/>
        <w:rPr>
          <w:rFonts w:ascii="仿宋_GB2312" w:eastAsia="仿宋_GB2312"/>
          <w:sz w:val="32"/>
          <w:szCs w:val="32"/>
        </w:rPr>
      </w:pPr>
      <w:r>
        <w:rPr>
          <w:rFonts w:hint="eastAsia" w:ascii="仿宋_GB2312" w:eastAsia="仿宋_GB2312"/>
          <w:sz w:val="32"/>
          <w:szCs w:val="32"/>
        </w:rPr>
        <w:t>附件1</w:t>
      </w:r>
      <w:r>
        <w:rPr>
          <w:rFonts w:ascii="仿宋_GB2312" w:eastAsia="仿宋_GB2312"/>
          <w:sz w:val="32"/>
          <w:szCs w:val="32"/>
        </w:rPr>
        <w:t>2</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示范区人力资源社会保障局问题清单</w:t>
      </w:r>
    </w:p>
    <w:p>
      <w:pPr>
        <w:rPr>
          <w:rFonts w:ascii="方正小标宋简体" w:eastAsia="方正小标宋简体"/>
          <w:sz w:val="36"/>
          <w:szCs w:val="36"/>
        </w:rPr>
      </w:pP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1.管委会网站—法定主动公开内容—机构信息栏目链接至本部门网站首页，机构职能信息公开不全。</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2</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管委会网站未查询到就业优先政策、技能培训政策及办理流程信息，未查询到面向高校毕业生、农村转移劳动力、退役军人、就业困难人员的就业支持政策。</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3</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示范区人力资源和社会保障局网站未查询到就业优先政策、技能培训政策及办理流程。</w:t>
      </w:r>
    </w:p>
    <w:p>
      <w:pPr>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4.</w:t>
      </w:r>
      <w:r>
        <w:rPr>
          <w:rFonts w:hint="eastAsia" w:ascii="仿宋_GB2312" w:hAnsi="仿宋" w:eastAsia="仿宋_GB2312" w:cs="仿宋_GB2312"/>
          <w:kern w:val="0"/>
          <w:sz w:val="28"/>
          <w:szCs w:val="28"/>
        </w:rPr>
        <w:t>示范区人力资源和社会保障局网站“调查征集”栏目链接至杨凌示范区网站“调查征集”栏目，未查询到本部门围绕重大事件、业务工作开展的调查征集活动。</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5</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未对《关于推进人力资源服务业高质量发展的实施意见的通知》政策背景依据方面进行实质性解读。</w:t>
      </w:r>
    </w:p>
    <w:p>
      <w:pPr>
        <w:tabs>
          <w:tab w:val="left" w:pos="630"/>
        </w:tabs>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6.</w:t>
      </w:r>
      <w:r>
        <w:rPr>
          <w:rFonts w:hint="eastAsia" w:ascii="仿宋_GB2312" w:hAnsi="仿宋" w:eastAsia="仿宋_GB2312" w:cs="仿宋_GB2312"/>
          <w:kern w:val="0"/>
          <w:sz w:val="28"/>
          <w:szCs w:val="28"/>
        </w:rPr>
        <w:t>管委会网站“权责清单”栏目链接至“陕西省权责清单统一发布平台”，缺少行政处罚、行政强制、行政检查事项。</w:t>
      </w:r>
    </w:p>
    <w:p>
      <w:pPr>
        <w:ind w:firstLine="560" w:firstLineChars="200"/>
        <w:rPr>
          <w:rFonts w:ascii="仿宋_GB2312" w:hAnsi="仿宋" w:eastAsia="仿宋_GB2312" w:cs="仿宋_GB2312"/>
          <w:kern w:val="0"/>
          <w:sz w:val="28"/>
          <w:szCs w:val="28"/>
          <w:highlight w:val="yellow"/>
        </w:rPr>
      </w:pPr>
    </w:p>
    <w:p/>
    <w:p>
      <w:pPr>
        <w:widowControl/>
        <w:jc w:val="left"/>
        <w:rPr>
          <w:rFonts w:hint="eastAsia" w:ascii="仿宋_GB2312" w:eastAsia="仿宋_GB2312"/>
          <w:sz w:val="32"/>
          <w:szCs w:val="32"/>
        </w:rPr>
      </w:pPr>
    </w:p>
    <w:p>
      <w:pPr>
        <w:widowControl/>
        <w:jc w:val="left"/>
        <w:rPr>
          <w:rFonts w:hint="eastAsia" w:ascii="仿宋_GB2312" w:eastAsia="仿宋_GB2312"/>
          <w:sz w:val="32"/>
          <w:szCs w:val="32"/>
        </w:rPr>
      </w:pPr>
    </w:p>
    <w:p>
      <w:pPr>
        <w:widowControl/>
        <w:jc w:val="left"/>
        <w:rPr>
          <w:rFonts w:hint="eastAsia" w:ascii="仿宋_GB2312" w:eastAsia="仿宋_GB2312"/>
          <w:sz w:val="32"/>
          <w:szCs w:val="32"/>
        </w:rPr>
      </w:pPr>
    </w:p>
    <w:p>
      <w:pPr>
        <w:widowControl/>
        <w:jc w:val="left"/>
        <w:rPr>
          <w:rFonts w:hint="eastAsia" w:ascii="仿宋_GB2312" w:eastAsia="仿宋_GB2312"/>
          <w:sz w:val="32"/>
          <w:szCs w:val="32"/>
        </w:rPr>
      </w:pPr>
    </w:p>
    <w:p>
      <w:pPr>
        <w:widowControl/>
        <w:jc w:val="left"/>
        <w:rPr>
          <w:rFonts w:ascii="仿宋_GB2312" w:eastAsia="仿宋_GB2312"/>
          <w:sz w:val="32"/>
          <w:szCs w:val="32"/>
        </w:rPr>
      </w:pPr>
      <w:r>
        <w:rPr>
          <w:rFonts w:hint="eastAsia" w:ascii="仿宋_GB2312" w:eastAsia="仿宋_GB2312"/>
          <w:sz w:val="32"/>
          <w:szCs w:val="32"/>
        </w:rPr>
        <w:t>附件1</w:t>
      </w:r>
      <w:r>
        <w:rPr>
          <w:rFonts w:ascii="仿宋_GB2312" w:eastAsia="仿宋_GB2312"/>
          <w:sz w:val="32"/>
          <w:szCs w:val="32"/>
        </w:rPr>
        <w:t>3</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示范区自然资源局问题清单</w:t>
      </w:r>
    </w:p>
    <w:p>
      <w:pPr>
        <w:rPr>
          <w:rFonts w:ascii="方正小标宋简体" w:eastAsia="方正小标宋简体"/>
          <w:sz w:val="36"/>
          <w:szCs w:val="36"/>
        </w:rPr>
      </w:pP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1.管委会网站—法定主动公开内容—机构信息栏目链接至本部门网站首页，机构职能信息公开不全。</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2</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管委会网站</w:t>
      </w:r>
      <w:bookmarkStart w:id="9" w:name="_Hlk150848426"/>
      <w:r>
        <w:rPr>
          <w:rFonts w:hint="eastAsia" w:ascii="仿宋_GB2312" w:hAnsi="仿宋" w:eastAsia="仿宋_GB2312" w:cs="仿宋_GB2312"/>
          <w:kern w:val="0"/>
          <w:sz w:val="28"/>
          <w:szCs w:val="28"/>
        </w:rPr>
        <w:t>未查询到</w:t>
      </w:r>
      <w:r>
        <w:rPr>
          <w:rFonts w:ascii="仿宋_GB2312" w:hAnsi="仿宋" w:eastAsia="仿宋_GB2312" w:cs="仿宋_GB2312"/>
          <w:kern w:val="0"/>
          <w:sz w:val="28"/>
          <w:szCs w:val="28"/>
        </w:rPr>
        <w:t>高质量项目推进年亮点工作、典型做法</w:t>
      </w:r>
      <w:r>
        <w:rPr>
          <w:rFonts w:hint="eastAsia" w:ascii="仿宋_GB2312" w:hAnsi="仿宋" w:eastAsia="仿宋_GB2312" w:cs="仿宋_GB2312"/>
          <w:kern w:val="0"/>
          <w:sz w:val="28"/>
          <w:szCs w:val="28"/>
        </w:rPr>
        <w:t>信息；未在政府信息公开栏目中查询到节能审查意见、建设项目选址意见审批结果、建设项目用地预审结果、建设项目使用林地审核结果、建设用地规划许可证审批结果、建设工程规划类许可审批结果、施工许可审批结果、招标事项审批核准结果，取水许可、水土保持方案、洪水影响评价等涉水事项审批结果等信息；未查询到2023年征地告知书以及履行征地报批前程序的相关证明材料、建设项目用地呈报说明书、农用地转用方案、补充耕地方案、征收土地方案、供地方案、征地批后实施中征地公告、征地补偿安置方案公告等征收土地信息；未查询到项目法人单位及其主要负责人信息，设计、施工、监理单位及其主要负责人、项目负责人信息、资质情况，施工单位项目管理机构设置、工作职责、主要管理制度，施工期环境保护措施落实情况等施工信息；未查询到</w:t>
      </w:r>
      <w:r>
        <w:rPr>
          <w:rFonts w:ascii="仿宋_GB2312" w:hAnsi="仿宋" w:eastAsia="仿宋_GB2312" w:cs="仿宋_GB2312"/>
          <w:kern w:val="0"/>
          <w:sz w:val="28"/>
          <w:szCs w:val="28"/>
        </w:rPr>
        <w:t>竣工验收时间、竣工验收结果，竣工验收备案时间、备案编号、备案部门</w:t>
      </w:r>
      <w:r>
        <w:rPr>
          <w:rFonts w:hint="eastAsia" w:ascii="仿宋_GB2312" w:hAnsi="仿宋" w:eastAsia="仿宋_GB2312" w:cs="仿宋_GB2312"/>
          <w:kern w:val="0"/>
          <w:sz w:val="28"/>
          <w:szCs w:val="28"/>
        </w:rPr>
        <w:t>等竣工信息</w:t>
      </w:r>
      <w:r>
        <w:rPr>
          <w:rFonts w:ascii="仿宋_GB2312" w:hAnsi="仿宋" w:eastAsia="仿宋_GB2312" w:cs="仿宋_GB2312"/>
          <w:kern w:val="0"/>
          <w:sz w:val="28"/>
          <w:szCs w:val="28"/>
        </w:rPr>
        <w:t>。</w:t>
      </w:r>
      <w:bookmarkEnd w:id="9"/>
    </w:p>
    <w:p>
      <w:pPr>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3.</w:t>
      </w:r>
      <w:r>
        <w:rPr>
          <w:rFonts w:hint="eastAsia" w:ascii="仿宋_GB2312" w:hAnsi="仿宋" w:eastAsia="仿宋_GB2312" w:cs="仿宋_GB2312"/>
          <w:kern w:val="0"/>
          <w:sz w:val="28"/>
          <w:szCs w:val="28"/>
        </w:rPr>
        <w:t>示范区自然资源和规划局网站未查询到2023年征地告知书以及履行征地报批前程序的相关证明材料、建设项目用地呈报说明书、农用地转用方案、补充耕地方案、征收土地方案、供地方案、征地批后实施中征地公告、征地补偿安置方案公告等征收土地信息。</w:t>
      </w:r>
    </w:p>
    <w:p>
      <w:pPr>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4.</w:t>
      </w:r>
      <w:r>
        <w:rPr>
          <w:rFonts w:hint="eastAsia" w:ascii="仿宋_GB2312" w:hAnsi="仿宋" w:eastAsia="仿宋_GB2312" w:cs="仿宋_GB2312"/>
          <w:kern w:val="0"/>
          <w:sz w:val="28"/>
          <w:szCs w:val="28"/>
        </w:rPr>
        <w:t>示范区自然资源和规划局网站未公开营商环境突破年工作情况、亮点工作、典型做法信息，优化营商环境政策措施和涉企收费目录清单信息公开不全，如未公开涉企收费目录清单信息。</w:t>
      </w:r>
    </w:p>
    <w:p>
      <w:pPr>
        <w:tabs>
          <w:tab w:val="left" w:pos="630"/>
        </w:tabs>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5</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管委会网站“权责清单”栏目链接至“陕西省权责清单统一发布平台”，缺少行政处罚、行政强制、行政检查事项。</w:t>
      </w:r>
    </w:p>
    <w:p>
      <w:pPr>
        <w:ind w:firstLine="560" w:firstLineChars="200"/>
        <w:rPr>
          <w:rFonts w:ascii="仿宋_GB2312" w:hAnsi="仿宋" w:eastAsia="仿宋_GB2312" w:cs="仿宋_GB2312"/>
          <w:kern w:val="0"/>
          <w:sz w:val="28"/>
          <w:szCs w:val="28"/>
        </w:rPr>
      </w:pPr>
    </w:p>
    <w:p>
      <w:pPr>
        <w:widowControl/>
        <w:textAlignment w:val="center"/>
        <w:rPr>
          <w:rFonts w:hint="eastAsia" w:ascii="仿宋_GB2312" w:hAnsi="仿宋" w:eastAsia="仿宋_GB2312" w:cs="仿宋_GB2312"/>
          <w:color w:val="000000"/>
          <w:kern w:val="0"/>
          <w:sz w:val="28"/>
          <w:szCs w:val="28"/>
        </w:rPr>
        <w:sectPr>
          <w:pgSz w:w="11906" w:h="16838"/>
          <w:pgMar w:top="1440" w:right="1800" w:bottom="1440" w:left="1800" w:header="851" w:footer="992" w:gutter="0"/>
          <w:cols w:space="425" w:num="1"/>
          <w:docGrid w:type="lines" w:linePitch="312" w:charSpace="0"/>
        </w:sectPr>
      </w:pPr>
    </w:p>
    <w:p>
      <w:pPr>
        <w:widowControl/>
        <w:jc w:val="left"/>
        <w:rPr>
          <w:rFonts w:ascii="仿宋_GB2312" w:eastAsia="仿宋_GB2312"/>
          <w:sz w:val="32"/>
          <w:szCs w:val="32"/>
        </w:rPr>
      </w:pPr>
      <w:r>
        <w:rPr>
          <w:rFonts w:hint="eastAsia" w:ascii="仿宋_GB2312" w:eastAsia="仿宋_GB2312"/>
          <w:sz w:val="32"/>
          <w:szCs w:val="32"/>
        </w:rPr>
        <w:t>附件1</w:t>
      </w:r>
      <w:r>
        <w:rPr>
          <w:rFonts w:ascii="仿宋_GB2312" w:eastAsia="仿宋_GB2312"/>
          <w:sz w:val="32"/>
          <w:szCs w:val="32"/>
        </w:rPr>
        <w:t>4</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示范区生态环境局问题清单</w:t>
      </w:r>
    </w:p>
    <w:p>
      <w:pPr>
        <w:rPr>
          <w:rFonts w:ascii="方正小标宋简体" w:eastAsia="方正小标宋简体"/>
          <w:sz w:val="36"/>
          <w:szCs w:val="36"/>
        </w:rPr>
      </w:pP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1.管委会网站—法定主动公开内容—机构信息栏目链接至本部门网站首页，机构职能信息公开不全。</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2</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管委会网站未查询到关于净土保卫战的环境管理、监督检查信息。</w:t>
      </w:r>
    </w:p>
    <w:p>
      <w:pPr>
        <w:ind w:firstLine="560" w:firstLineChars="200"/>
      </w:pPr>
      <w:r>
        <w:rPr>
          <w:rFonts w:hint="eastAsia" w:ascii="仿宋_GB2312" w:hAnsi="仿宋" w:eastAsia="仿宋_GB2312" w:cs="仿宋_GB2312"/>
          <w:kern w:val="0"/>
          <w:sz w:val="28"/>
          <w:szCs w:val="28"/>
        </w:rPr>
        <w:t>3</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示范区生态环境局网站未查询到关于提升黄河生态保护水平和碳达峰碳中和的环境管理、监督检查信息。</w:t>
      </w:r>
    </w:p>
    <w:p>
      <w:pPr>
        <w:ind w:firstLine="560" w:firstLineChars="200"/>
      </w:pPr>
      <w:r>
        <w:rPr>
          <w:rFonts w:hint="eastAsia" w:ascii="仿宋_GB2312" w:hAnsi="仿宋" w:eastAsia="仿宋_GB2312" w:cs="仿宋_GB2312"/>
          <w:kern w:val="0"/>
          <w:sz w:val="28"/>
          <w:szCs w:val="28"/>
        </w:rPr>
        <w:t>4</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示范区生态环境局网站未在“政府信息公开”栏目公开关于蓝天碧水净土保卫战的环境管理、监督检查信息。</w:t>
      </w:r>
    </w:p>
    <w:p>
      <w:pPr>
        <w:ind w:firstLine="560" w:firstLineChars="200"/>
        <w:rPr>
          <w:rFonts w:ascii="仿宋_GB2312" w:hAnsi="仿宋" w:eastAsia="仿宋_GB2312" w:cs="仿宋_GB2312"/>
          <w:color w:val="000000"/>
          <w:kern w:val="0"/>
          <w:sz w:val="28"/>
          <w:szCs w:val="28"/>
        </w:rPr>
      </w:pPr>
      <w:r>
        <w:rPr>
          <w:rFonts w:ascii="仿宋_GB2312" w:hAnsi="仿宋" w:eastAsia="仿宋_GB2312" w:cs="仿宋_GB2312"/>
          <w:kern w:val="0"/>
          <w:sz w:val="28"/>
          <w:szCs w:val="28"/>
        </w:rPr>
        <w:t>5.</w:t>
      </w:r>
      <w:r>
        <w:rPr>
          <w:rFonts w:hint="eastAsia" w:ascii="仿宋_GB2312" w:hAnsi="仿宋" w:eastAsia="仿宋_GB2312" w:cs="仿宋_GB2312"/>
          <w:kern w:val="0"/>
          <w:sz w:val="28"/>
          <w:szCs w:val="28"/>
        </w:rPr>
        <w:t>示范区生态环境局网站</w:t>
      </w:r>
      <w:r>
        <w:rPr>
          <w:rFonts w:hint="eastAsia" w:ascii="仿宋_GB2312" w:hAnsi="仿宋" w:eastAsia="仿宋_GB2312" w:cs="仿宋_GB2312"/>
          <w:color w:val="000000"/>
          <w:kern w:val="0"/>
          <w:sz w:val="28"/>
          <w:szCs w:val="28"/>
        </w:rPr>
        <w:t>未及时转载上级政府网站发布的重要政策信息，如“李强总理出席记者会并回答中外记者提问”“习近平在十四届全国人大一次会议上发表重要讲话”“四部门集中回应中国经济形势，信息量很大！”。</w:t>
      </w:r>
    </w:p>
    <w:p>
      <w:pPr>
        <w:ind w:firstLine="560" w:firstLineChars="200"/>
        <w:rPr>
          <w:rFonts w:ascii="仿宋_GB2312" w:hAnsi="仿宋" w:eastAsia="仿宋_GB2312" w:cs="仿宋_GB2312"/>
          <w:color w:val="000000"/>
          <w:kern w:val="0"/>
          <w:sz w:val="28"/>
          <w:szCs w:val="28"/>
        </w:rPr>
      </w:pPr>
      <w:r>
        <w:rPr>
          <w:rFonts w:ascii="仿宋_GB2312" w:hAnsi="仿宋" w:eastAsia="仿宋_GB2312" w:cs="仿宋_GB2312"/>
          <w:color w:val="000000"/>
          <w:kern w:val="0"/>
          <w:sz w:val="28"/>
          <w:szCs w:val="28"/>
        </w:rPr>
        <w:t>6.</w:t>
      </w:r>
      <w:r>
        <w:rPr>
          <w:rFonts w:hint="eastAsia" w:ascii="仿宋_GB2312" w:hAnsi="仿宋" w:eastAsia="仿宋_GB2312" w:cs="仿宋_GB2312"/>
          <w:color w:val="000000"/>
          <w:kern w:val="0"/>
          <w:sz w:val="28"/>
          <w:szCs w:val="28"/>
        </w:rPr>
        <w:t>未在管委会网站“法定主动公开内容—发展规划—专项规划”公开《杨凌示范区生态环境保护“十四五”规划》信息。</w:t>
      </w:r>
    </w:p>
    <w:p>
      <w:pPr>
        <w:widowControl/>
        <w:textAlignment w:val="center"/>
        <w:rPr>
          <w:rFonts w:hint="eastAsia" w:ascii="仿宋_GB2312" w:hAnsi="仿宋" w:eastAsia="仿宋_GB2312" w:cs="仿宋_GB2312"/>
          <w:color w:val="000000"/>
          <w:kern w:val="0"/>
          <w:sz w:val="28"/>
          <w:szCs w:val="28"/>
        </w:rPr>
        <w:sectPr>
          <w:pgSz w:w="11906" w:h="16838"/>
          <w:pgMar w:top="1440" w:right="1800" w:bottom="1440" w:left="1800" w:header="851" w:footer="992" w:gutter="0"/>
          <w:cols w:space="425" w:num="1"/>
          <w:docGrid w:type="lines" w:linePitch="312" w:charSpace="0"/>
        </w:sectPr>
      </w:pPr>
    </w:p>
    <w:p>
      <w:pPr>
        <w:widowControl/>
        <w:jc w:val="left"/>
        <w:rPr>
          <w:rFonts w:ascii="仿宋_GB2312" w:eastAsia="仿宋_GB2312"/>
          <w:sz w:val="32"/>
          <w:szCs w:val="32"/>
        </w:rPr>
      </w:pPr>
      <w:r>
        <w:rPr>
          <w:rFonts w:hint="eastAsia" w:ascii="仿宋_GB2312" w:eastAsia="仿宋_GB2312"/>
          <w:sz w:val="32"/>
          <w:szCs w:val="32"/>
        </w:rPr>
        <w:t>附件1</w:t>
      </w:r>
      <w:r>
        <w:rPr>
          <w:rFonts w:ascii="仿宋_GB2312" w:eastAsia="仿宋_GB2312"/>
          <w:sz w:val="32"/>
          <w:szCs w:val="32"/>
        </w:rPr>
        <w:t>5</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示范区住建局问题清单</w:t>
      </w:r>
    </w:p>
    <w:p>
      <w:pPr>
        <w:rPr>
          <w:rFonts w:ascii="方正小标宋简体" w:eastAsia="方正小标宋简体"/>
          <w:sz w:val="36"/>
          <w:szCs w:val="36"/>
        </w:rPr>
      </w:pP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1.管委会网站—法定主动公开内容—机构信息栏目链接至本部门网站首页，机构职能信息公开不全。</w:t>
      </w:r>
    </w:p>
    <w:p>
      <w:pPr>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2.</w:t>
      </w:r>
      <w:r>
        <w:rPr>
          <w:rFonts w:hint="eastAsia" w:ascii="仿宋_GB2312" w:hAnsi="仿宋" w:eastAsia="仿宋_GB2312" w:cs="仿宋_GB2312"/>
          <w:kern w:val="0"/>
          <w:sz w:val="28"/>
          <w:szCs w:val="28"/>
        </w:rPr>
        <w:t>管委会网站未查询到</w:t>
      </w:r>
      <w:r>
        <w:rPr>
          <w:rFonts w:ascii="仿宋_GB2312" w:hAnsi="仿宋" w:eastAsia="仿宋_GB2312" w:cs="仿宋_GB2312"/>
          <w:kern w:val="0"/>
          <w:sz w:val="28"/>
          <w:szCs w:val="28"/>
        </w:rPr>
        <w:t>高质量项目推进年亮点工作、典型做法</w:t>
      </w:r>
      <w:r>
        <w:rPr>
          <w:rFonts w:hint="eastAsia" w:ascii="仿宋_GB2312" w:hAnsi="仿宋" w:eastAsia="仿宋_GB2312" w:cs="仿宋_GB2312"/>
          <w:kern w:val="0"/>
          <w:sz w:val="28"/>
          <w:szCs w:val="28"/>
        </w:rPr>
        <w:t>信息；未在政府信息公开栏目中查询到节能审查意见、建设项目选址意见审批结果、建设项目用地预审结果、建设项目使用林地审核结果、建设用地规划许可证审批结果、建设工程规划类许可审批结果、施工许可审批结果、招标事项审批核准结果，取水许可、水土保持方案、洪水影响评价等涉水事项审批结果等信息；未查询到2023年征地告知书以及履行征地报批前程序的相关证明材料、建设项目用地呈报说明书、农用地转用方案、补充耕地方案、征收土地方案、供地方案、征地批后实施中征地公告、征地补偿安置方案公告等征收土地信息；未查询到项目法人单位及其主要负责人信息，设计、施工、监理单位及其主要负责人、项目负责人信息、资质情况，施工单位项目管理机构设置、工作职责、主要管理制度，施工期环境保护措施落实情况等施工信息；未查询到</w:t>
      </w:r>
      <w:r>
        <w:rPr>
          <w:rFonts w:ascii="仿宋_GB2312" w:hAnsi="仿宋" w:eastAsia="仿宋_GB2312" w:cs="仿宋_GB2312"/>
          <w:kern w:val="0"/>
          <w:sz w:val="28"/>
          <w:szCs w:val="28"/>
        </w:rPr>
        <w:t>竣工验收时间、竣工验收结果，竣工验收备案时间、备案编号、备案部门</w:t>
      </w:r>
      <w:r>
        <w:rPr>
          <w:rFonts w:hint="eastAsia" w:ascii="仿宋_GB2312" w:hAnsi="仿宋" w:eastAsia="仿宋_GB2312" w:cs="仿宋_GB2312"/>
          <w:kern w:val="0"/>
          <w:sz w:val="28"/>
          <w:szCs w:val="28"/>
        </w:rPr>
        <w:t>等竣工信息</w:t>
      </w:r>
      <w:r>
        <w:rPr>
          <w:rFonts w:ascii="仿宋_GB2312" w:hAnsi="仿宋" w:eastAsia="仿宋_GB2312" w:cs="仿宋_GB2312"/>
          <w:kern w:val="0"/>
          <w:sz w:val="28"/>
          <w:szCs w:val="28"/>
        </w:rPr>
        <w:t>。</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3</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示范区住房和城乡建设局（交通运输局）网站未公开高质量项目推进年亮点工作、典型做法信息。</w:t>
      </w:r>
    </w:p>
    <w:p>
      <w:pPr>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4.</w:t>
      </w:r>
      <w:r>
        <w:rPr>
          <w:rFonts w:hint="eastAsia" w:ascii="仿宋_GB2312" w:hAnsi="仿宋" w:eastAsia="仿宋_GB2312" w:cs="仿宋_GB2312"/>
          <w:kern w:val="0"/>
          <w:sz w:val="28"/>
          <w:szCs w:val="28"/>
        </w:rPr>
        <w:t>示范区住房和城乡建设局（交通运输局）网站未查询到建筑工程施工许可证核发信息，项目法人单位及其主要负责人信息，设计、施工、监理单位及其主要负责人、项目负责人信息、资质情况，施工单位项目管理机构设置、工作职责、主要管理制度，施工期环境保护措施落实情况等信息。</w:t>
      </w:r>
    </w:p>
    <w:p>
      <w:pPr>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5.</w:t>
      </w:r>
      <w:r>
        <w:rPr>
          <w:rFonts w:hint="eastAsia" w:ascii="仿宋_GB2312" w:hAnsi="仿宋" w:eastAsia="仿宋_GB2312" w:cs="仿宋_GB2312"/>
          <w:kern w:val="0"/>
          <w:sz w:val="28"/>
          <w:szCs w:val="28"/>
        </w:rPr>
        <w:t>未在管委会网站“法定主动公开内容—发展规划—专项规划”公开《杨凌示范区城乡一体化发展“十四五”规划》《杨凌示范区基础设施建设“十四五”规划》信息。</w:t>
      </w:r>
    </w:p>
    <w:p>
      <w:pPr>
        <w:tabs>
          <w:tab w:val="left" w:pos="630"/>
        </w:tabs>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6</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管委会网站“权责清单”栏目链接至“陕西省权责清单统一发布平台”，缺少行政处罚、行政强制、行政检查事项。</w:t>
      </w:r>
    </w:p>
    <w:p>
      <w:pPr>
        <w:ind w:firstLine="560" w:firstLineChars="200"/>
        <w:rPr>
          <w:rFonts w:ascii="仿宋_GB2312" w:hAnsi="仿宋" w:eastAsia="仿宋_GB2312" w:cs="仿宋_GB2312"/>
          <w:kern w:val="0"/>
          <w:sz w:val="28"/>
          <w:szCs w:val="28"/>
        </w:rPr>
      </w:pPr>
    </w:p>
    <w:p>
      <w:pPr>
        <w:widowControl/>
        <w:textAlignment w:val="center"/>
        <w:rPr>
          <w:rFonts w:hint="eastAsia" w:ascii="仿宋_GB2312" w:hAnsi="仿宋" w:eastAsia="仿宋_GB2312" w:cs="仿宋_GB2312"/>
          <w:color w:val="000000"/>
          <w:kern w:val="0"/>
          <w:sz w:val="28"/>
          <w:szCs w:val="28"/>
        </w:rPr>
        <w:sectPr>
          <w:pgSz w:w="11906" w:h="16838"/>
          <w:pgMar w:top="1440" w:right="1800" w:bottom="1440" w:left="1800" w:header="851" w:footer="992" w:gutter="0"/>
          <w:cols w:space="425" w:num="1"/>
          <w:docGrid w:type="lines" w:linePitch="312" w:charSpace="0"/>
        </w:sectPr>
      </w:pPr>
    </w:p>
    <w:p>
      <w:pPr>
        <w:widowControl/>
        <w:jc w:val="left"/>
        <w:rPr>
          <w:rFonts w:ascii="仿宋_GB2312" w:eastAsia="仿宋_GB2312"/>
          <w:sz w:val="32"/>
          <w:szCs w:val="32"/>
        </w:rPr>
      </w:pPr>
      <w:r>
        <w:rPr>
          <w:rFonts w:hint="eastAsia" w:ascii="仿宋_GB2312" w:eastAsia="仿宋_GB2312"/>
          <w:sz w:val="32"/>
          <w:szCs w:val="32"/>
        </w:rPr>
        <w:t>附件1</w:t>
      </w:r>
      <w:r>
        <w:rPr>
          <w:rFonts w:ascii="仿宋_GB2312" w:eastAsia="仿宋_GB2312"/>
          <w:sz w:val="32"/>
          <w:szCs w:val="32"/>
        </w:rPr>
        <w:t>6</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示范区水务局问题清单</w:t>
      </w:r>
    </w:p>
    <w:p>
      <w:pPr>
        <w:rPr>
          <w:rFonts w:ascii="方正小标宋简体" w:eastAsia="方正小标宋简体"/>
          <w:sz w:val="36"/>
          <w:szCs w:val="36"/>
        </w:rPr>
      </w:pP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1.管委会网站—法定主动公开内容—机构信息栏目链接至本部门网站首页，机构职能信息公开不全。</w:t>
      </w:r>
    </w:p>
    <w:p>
      <w:pPr>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2.</w:t>
      </w:r>
      <w:r>
        <w:rPr>
          <w:rFonts w:hint="eastAsia" w:ascii="仿宋_GB2312" w:hAnsi="仿宋" w:eastAsia="仿宋_GB2312" w:cs="仿宋_GB2312"/>
          <w:kern w:val="0"/>
          <w:sz w:val="28"/>
          <w:szCs w:val="28"/>
        </w:rPr>
        <w:t>抽查示范区水务局网站搜索结果分类展现不全面，未包含“政策文件”。</w:t>
      </w:r>
    </w:p>
    <w:p>
      <w:pPr>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3.</w:t>
      </w:r>
      <w:r>
        <w:rPr>
          <w:rFonts w:hint="eastAsia" w:ascii="仿宋_GB2312" w:hAnsi="仿宋" w:eastAsia="仿宋_GB2312" w:cs="仿宋_GB2312"/>
          <w:kern w:val="0"/>
          <w:sz w:val="28"/>
          <w:szCs w:val="28"/>
        </w:rPr>
        <w:t>未在管委会网站“法定主动公开内容—发展规划—专项规划”公开《杨凌示范区十四五水利发展规划》信息。</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4</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管委会网站“权责清单”栏目链接至“陕西省权责清单统一发布平台”，缺少行政处罚、行政强制、行政检查事项；抽查“水土保持补偿费征收”，缺少实施依据、监督电话。</w:t>
      </w:r>
    </w:p>
    <w:p>
      <w:pPr>
        <w:widowControl/>
        <w:textAlignment w:val="center"/>
        <w:rPr>
          <w:rFonts w:hint="eastAsia" w:ascii="仿宋_GB2312" w:hAnsi="仿宋" w:eastAsia="仿宋_GB2312" w:cs="仿宋_GB2312"/>
          <w:color w:val="000000"/>
          <w:kern w:val="0"/>
          <w:sz w:val="28"/>
          <w:szCs w:val="28"/>
        </w:rPr>
        <w:sectPr>
          <w:pgSz w:w="11906" w:h="16838"/>
          <w:pgMar w:top="1440" w:right="1800" w:bottom="1440" w:left="1800" w:header="851" w:footer="992" w:gutter="0"/>
          <w:cols w:space="425" w:num="1"/>
          <w:docGrid w:type="lines" w:linePitch="312" w:charSpace="0"/>
        </w:sectPr>
      </w:pPr>
    </w:p>
    <w:p>
      <w:pPr>
        <w:widowControl/>
        <w:jc w:val="left"/>
        <w:rPr>
          <w:rFonts w:ascii="仿宋_GB2312" w:eastAsia="仿宋_GB2312"/>
          <w:sz w:val="32"/>
          <w:szCs w:val="32"/>
        </w:rPr>
      </w:pPr>
      <w:r>
        <w:rPr>
          <w:rFonts w:hint="eastAsia" w:ascii="仿宋_GB2312" w:eastAsia="仿宋_GB2312"/>
          <w:sz w:val="32"/>
          <w:szCs w:val="32"/>
        </w:rPr>
        <w:t>附件1</w:t>
      </w:r>
      <w:r>
        <w:rPr>
          <w:rFonts w:ascii="仿宋_GB2312" w:eastAsia="仿宋_GB2312"/>
          <w:sz w:val="32"/>
          <w:szCs w:val="32"/>
        </w:rPr>
        <w:t>7</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示范区农业局问题清单</w:t>
      </w:r>
    </w:p>
    <w:p>
      <w:pPr>
        <w:rPr>
          <w:rFonts w:ascii="方正小标宋简体" w:eastAsia="方正小标宋简体"/>
          <w:sz w:val="36"/>
          <w:szCs w:val="36"/>
        </w:rPr>
      </w:pP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1.管委会网站—法定主动公开内容—机构信息栏目链接至本部门网站首页，机构职能信息公开不全。</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2</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示范区现代农业和乡村发展局网站未查询到涉农补贴申报、发放信息。</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3.未在管委会网站“法定主动公开内容—发展规划—专项规划”公开《杨凌示范区农业农村现代化发展“十四五”规划》信息。</w:t>
      </w:r>
    </w:p>
    <w:p>
      <w:pPr>
        <w:ind w:firstLine="560" w:firstLineChars="200"/>
        <w:rPr>
          <w:rFonts w:ascii="仿宋_GB2312" w:hAnsi="仿宋" w:eastAsia="仿宋_GB2312" w:cs="仿宋_GB2312"/>
          <w:kern w:val="0"/>
          <w:sz w:val="28"/>
          <w:szCs w:val="28"/>
        </w:rPr>
      </w:pPr>
    </w:p>
    <w:p/>
    <w:p>
      <w:pPr>
        <w:widowControl/>
        <w:textAlignment w:val="center"/>
        <w:rPr>
          <w:rFonts w:hint="eastAsia" w:ascii="仿宋_GB2312" w:hAnsi="仿宋" w:eastAsia="仿宋_GB2312" w:cs="仿宋_GB2312"/>
          <w:color w:val="000000"/>
          <w:kern w:val="0"/>
          <w:sz w:val="28"/>
          <w:szCs w:val="28"/>
        </w:rPr>
        <w:sectPr>
          <w:pgSz w:w="11906" w:h="16838"/>
          <w:pgMar w:top="1440" w:right="1800" w:bottom="1440" w:left="1800" w:header="851" w:footer="992" w:gutter="0"/>
          <w:cols w:space="425" w:num="1"/>
          <w:docGrid w:type="lines" w:linePitch="312" w:charSpace="0"/>
        </w:sectPr>
      </w:pPr>
    </w:p>
    <w:p>
      <w:pPr>
        <w:widowControl/>
        <w:jc w:val="left"/>
        <w:rPr>
          <w:rFonts w:ascii="仿宋_GB2312" w:eastAsia="仿宋_GB2312"/>
          <w:sz w:val="32"/>
          <w:szCs w:val="32"/>
        </w:rPr>
      </w:pPr>
      <w:r>
        <w:rPr>
          <w:rFonts w:hint="eastAsia" w:ascii="仿宋_GB2312" w:eastAsia="仿宋_GB2312"/>
          <w:sz w:val="32"/>
          <w:szCs w:val="32"/>
        </w:rPr>
        <w:t>附件1</w:t>
      </w:r>
      <w:r>
        <w:rPr>
          <w:rFonts w:ascii="仿宋_GB2312" w:eastAsia="仿宋_GB2312"/>
          <w:sz w:val="32"/>
          <w:szCs w:val="32"/>
        </w:rPr>
        <w:t>8</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示范区文旅体育局问题清单</w:t>
      </w:r>
    </w:p>
    <w:p>
      <w:pPr>
        <w:rPr>
          <w:rFonts w:ascii="方正小标宋简体" w:eastAsia="方正小标宋简体"/>
          <w:sz w:val="36"/>
          <w:szCs w:val="36"/>
        </w:rPr>
      </w:pP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1.管委会网站—法定主动公开内容—机构信息栏目链接至本部门网站首页，机构职能信息公开不全。</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2</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管委会网站未查询到群众文化活动、各类演出展览和讲座、文博单位名录、非遗展示传播、公共文化机构免费开放等信息。</w:t>
      </w:r>
    </w:p>
    <w:p>
      <w:pPr>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3.</w:t>
      </w:r>
      <w:r>
        <w:rPr>
          <w:rFonts w:hint="eastAsia" w:ascii="仿宋_GB2312" w:hAnsi="仿宋" w:eastAsia="仿宋_GB2312" w:cs="仿宋_GB2312"/>
          <w:kern w:val="0"/>
          <w:sz w:val="28"/>
          <w:szCs w:val="28"/>
        </w:rPr>
        <w:t>示范区文化和旅游体育局网站未查询到群众文化活动、各类演出展览和讲座、文博单位名录、非遗展示传播、公共文化机构免费开放等信息。</w:t>
      </w:r>
    </w:p>
    <w:p>
      <w:pPr>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3.</w:t>
      </w:r>
      <w:r>
        <w:rPr>
          <w:rFonts w:hint="eastAsia" w:ascii="仿宋_GB2312" w:hAnsi="仿宋" w:eastAsia="仿宋_GB2312" w:cs="仿宋_GB2312"/>
          <w:kern w:val="0"/>
          <w:sz w:val="28"/>
          <w:szCs w:val="28"/>
        </w:rPr>
        <w:t>未在管委会网站“法定主动公开内容—发展规划—专项规划”公开《杨凌示范区“十四五”体育事业发展规划》《杨凌示范区“十四五”文物事业发展规划》《杨凌示范区“十四五”全域旅游</w:t>
      </w:r>
      <w:r>
        <w:rPr>
          <w:rFonts w:ascii="仿宋_GB2312" w:hAnsi="仿宋" w:eastAsia="仿宋_GB2312" w:cs="仿宋_GB2312"/>
          <w:kern w:val="0"/>
          <w:sz w:val="28"/>
          <w:szCs w:val="28"/>
        </w:rPr>
        <w:t>发展规划》</w:t>
      </w:r>
      <w:r>
        <w:rPr>
          <w:rFonts w:hint="eastAsia" w:ascii="仿宋_GB2312" w:hAnsi="仿宋" w:eastAsia="仿宋_GB2312" w:cs="仿宋_GB2312"/>
          <w:kern w:val="0"/>
          <w:sz w:val="28"/>
          <w:szCs w:val="28"/>
        </w:rPr>
        <w:t>信息。</w:t>
      </w:r>
    </w:p>
    <w:p>
      <w:pPr>
        <w:widowControl/>
        <w:textAlignment w:val="center"/>
        <w:rPr>
          <w:rFonts w:hint="eastAsia" w:ascii="仿宋_GB2312" w:hAnsi="仿宋" w:eastAsia="仿宋_GB2312" w:cs="仿宋_GB2312"/>
          <w:color w:val="000000"/>
          <w:kern w:val="0"/>
          <w:sz w:val="28"/>
          <w:szCs w:val="28"/>
        </w:rPr>
        <w:sectPr>
          <w:pgSz w:w="11906" w:h="16838"/>
          <w:pgMar w:top="1440" w:right="1800" w:bottom="1440" w:left="1800" w:header="851" w:footer="992" w:gutter="0"/>
          <w:cols w:space="425" w:num="1"/>
          <w:docGrid w:type="lines" w:linePitch="312" w:charSpace="0"/>
        </w:sectPr>
      </w:pPr>
    </w:p>
    <w:p>
      <w:pPr>
        <w:widowControl/>
        <w:jc w:val="left"/>
        <w:rPr>
          <w:rFonts w:ascii="仿宋_GB2312" w:eastAsia="仿宋_GB2312"/>
          <w:sz w:val="32"/>
          <w:szCs w:val="32"/>
        </w:rPr>
      </w:pPr>
      <w:r>
        <w:rPr>
          <w:rFonts w:hint="eastAsia" w:ascii="仿宋_GB2312" w:eastAsia="仿宋_GB2312"/>
          <w:sz w:val="32"/>
          <w:szCs w:val="32"/>
        </w:rPr>
        <w:t>附件1</w:t>
      </w:r>
      <w:r>
        <w:rPr>
          <w:rFonts w:ascii="仿宋_GB2312" w:eastAsia="仿宋_GB2312"/>
          <w:sz w:val="32"/>
          <w:szCs w:val="32"/>
        </w:rPr>
        <w:t>9</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示范区卫生健康局问题清单</w:t>
      </w:r>
    </w:p>
    <w:p>
      <w:pPr>
        <w:rPr>
          <w:rFonts w:ascii="方正小标宋简体" w:eastAsia="方正小标宋简体"/>
          <w:sz w:val="36"/>
          <w:szCs w:val="36"/>
        </w:rPr>
      </w:pP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1.管委会网站—法定主动公开内容—机构信息栏目链接至本部门网站首页，机构职能信息公开不全。</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2</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管委会网站未设置养老服务类栏目。</w:t>
      </w:r>
    </w:p>
    <w:p>
      <w:pPr>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3.</w:t>
      </w:r>
      <w:r>
        <w:rPr>
          <w:rFonts w:hint="eastAsia" w:ascii="仿宋_GB2312" w:hAnsi="仿宋" w:eastAsia="仿宋_GB2312" w:cs="仿宋_GB2312"/>
          <w:kern w:val="0"/>
          <w:sz w:val="28"/>
          <w:szCs w:val="28"/>
        </w:rPr>
        <w:t>示范区卫生健康局（民政局）网站未查询到养老服务政策措施、行业管理信息。</w:t>
      </w:r>
    </w:p>
    <w:p>
      <w:pPr>
        <w:tabs>
          <w:tab w:val="left" w:pos="630"/>
        </w:tabs>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4</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管委会网站“权责清单”栏目链接至“陕西省权责清单统一发布平台”，缺少行政处罚、行政强制、行政检查事项。</w:t>
      </w:r>
    </w:p>
    <w:p>
      <w:pPr>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5.</w:t>
      </w:r>
      <w:r>
        <w:rPr>
          <w:rFonts w:hint="eastAsia" w:ascii="仿宋_GB2312" w:hAnsi="仿宋" w:eastAsia="仿宋_GB2312" w:cs="仿宋_GB2312"/>
          <w:kern w:val="0"/>
          <w:sz w:val="28"/>
          <w:szCs w:val="28"/>
        </w:rPr>
        <w:t>未在管委会网站“法定主动公开内容—发展规划—专项规划”公开《杨凌示范区医疗卫生健康事业发展“十四五”规划》信息。</w:t>
      </w:r>
    </w:p>
    <w:p>
      <w:pPr>
        <w:tabs>
          <w:tab w:val="left" w:pos="630"/>
        </w:tabs>
        <w:ind w:firstLine="560" w:firstLineChars="200"/>
        <w:rPr>
          <w:rFonts w:ascii="仿宋_GB2312" w:hAnsi="仿宋" w:eastAsia="仿宋_GB2312" w:cs="仿宋_GB2312"/>
          <w:kern w:val="0"/>
          <w:sz w:val="28"/>
          <w:szCs w:val="28"/>
        </w:rPr>
      </w:pPr>
    </w:p>
    <w:p>
      <w:pPr>
        <w:ind w:firstLine="560" w:firstLineChars="200"/>
        <w:rPr>
          <w:rFonts w:ascii="仿宋_GB2312" w:hAnsi="仿宋" w:eastAsia="仿宋_GB2312" w:cs="仿宋_GB2312"/>
          <w:kern w:val="0"/>
          <w:sz w:val="28"/>
          <w:szCs w:val="28"/>
        </w:rPr>
      </w:pPr>
    </w:p>
    <w:p>
      <w:pPr>
        <w:widowControl/>
        <w:textAlignment w:val="center"/>
        <w:rPr>
          <w:rFonts w:hint="eastAsia" w:ascii="仿宋_GB2312" w:hAnsi="仿宋" w:eastAsia="仿宋_GB2312" w:cs="仿宋_GB2312"/>
          <w:color w:val="000000"/>
          <w:kern w:val="0"/>
          <w:sz w:val="28"/>
          <w:szCs w:val="28"/>
        </w:rPr>
        <w:sectPr>
          <w:pgSz w:w="11906" w:h="16838"/>
          <w:pgMar w:top="1440" w:right="1800" w:bottom="1440" w:left="1800" w:header="851" w:footer="992" w:gutter="0"/>
          <w:cols w:space="425" w:num="1"/>
          <w:docGrid w:type="lines" w:linePitch="312" w:charSpace="0"/>
        </w:sectPr>
      </w:pPr>
    </w:p>
    <w:p>
      <w:pPr>
        <w:widowControl/>
        <w:jc w:val="left"/>
        <w:rPr>
          <w:rFonts w:ascii="仿宋_GB2312" w:eastAsia="仿宋_GB2312"/>
          <w:sz w:val="32"/>
          <w:szCs w:val="32"/>
        </w:rPr>
      </w:pPr>
      <w:r>
        <w:rPr>
          <w:rFonts w:hint="eastAsia" w:ascii="仿宋_GB2312" w:eastAsia="仿宋_GB2312"/>
          <w:sz w:val="32"/>
          <w:szCs w:val="32"/>
        </w:rPr>
        <w:t>附件2</w:t>
      </w:r>
      <w:r>
        <w:rPr>
          <w:rFonts w:ascii="仿宋_GB2312" w:eastAsia="仿宋_GB2312"/>
          <w:sz w:val="32"/>
          <w:szCs w:val="32"/>
        </w:rPr>
        <w:t>0</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示范区应急局问题清单</w:t>
      </w:r>
    </w:p>
    <w:p>
      <w:pPr>
        <w:rPr>
          <w:rFonts w:ascii="方正小标宋简体" w:eastAsia="方正小标宋简体"/>
          <w:sz w:val="36"/>
          <w:szCs w:val="36"/>
        </w:rPr>
      </w:pP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管委会网站—法定主动公开内容—机构信息栏目链接至本部门网站首页，机构职能信息公开不全。</w:t>
      </w:r>
    </w:p>
    <w:p/>
    <w:p>
      <w:pPr>
        <w:widowControl/>
        <w:textAlignment w:val="center"/>
        <w:rPr>
          <w:rFonts w:hint="eastAsia" w:ascii="仿宋_GB2312" w:hAnsi="仿宋" w:eastAsia="仿宋_GB2312" w:cs="仿宋_GB2312"/>
          <w:color w:val="000000"/>
          <w:kern w:val="0"/>
          <w:sz w:val="28"/>
          <w:szCs w:val="28"/>
        </w:rPr>
        <w:sectPr>
          <w:pgSz w:w="11906" w:h="16838"/>
          <w:pgMar w:top="1440" w:right="1800" w:bottom="1440" w:left="1800" w:header="851" w:footer="992" w:gutter="0"/>
          <w:cols w:space="425" w:num="1"/>
          <w:docGrid w:type="lines" w:linePitch="312" w:charSpace="0"/>
        </w:sectPr>
      </w:pPr>
    </w:p>
    <w:p>
      <w:pPr>
        <w:widowControl/>
        <w:jc w:val="left"/>
        <w:rPr>
          <w:rFonts w:ascii="仿宋_GB2312" w:eastAsia="仿宋_GB2312"/>
          <w:sz w:val="32"/>
          <w:szCs w:val="32"/>
        </w:rPr>
      </w:pPr>
      <w:r>
        <w:rPr>
          <w:rFonts w:hint="eastAsia" w:ascii="仿宋_GB2312" w:eastAsia="仿宋_GB2312"/>
          <w:sz w:val="32"/>
          <w:szCs w:val="32"/>
        </w:rPr>
        <w:t>附件2</w:t>
      </w:r>
      <w:r>
        <w:rPr>
          <w:rFonts w:ascii="仿宋_GB2312" w:eastAsia="仿宋_GB2312"/>
          <w:sz w:val="32"/>
          <w:szCs w:val="32"/>
        </w:rPr>
        <w:t>1</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示范区市场监管局问题清单</w:t>
      </w:r>
    </w:p>
    <w:p>
      <w:pPr>
        <w:rPr>
          <w:rFonts w:ascii="方正小标宋简体" w:eastAsia="方正小标宋简体"/>
          <w:sz w:val="36"/>
          <w:szCs w:val="36"/>
        </w:rPr>
      </w:pP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1.管委会网站—法定主动公开内容—机构信息栏目链接至本部门网站首页，机构职能信息公开不全。</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2</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管委会网站未查询到“双随机、一公开”和反不正当竞争执法信息。</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3</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示范区市场监督管理局网站未公开营商环境突破年工作情况、亮点工作、典型做法信息，优化营商环境政策措施和涉企收费目录清单信息公开不全，</w:t>
      </w:r>
    </w:p>
    <w:p>
      <w:pPr>
        <w:ind w:firstLine="560" w:firstLineChars="200"/>
        <w:rPr>
          <w:rFonts w:ascii="仿宋_GB2312" w:hAnsi="仿宋" w:eastAsia="仿宋_GB2312" w:cs="仿宋_GB2312"/>
          <w:color w:val="000000"/>
          <w:kern w:val="0"/>
          <w:sz w:val="28"/>
          <w:szCs w:val="28"/>
        </w:rPr>
      </w:pPr>
      <w:r>
        <w:rPr>
          <w:rFonts w:hint="eastAsia" w:ascii="仿宋_GB2312" w:hAnsi="仿宋" w:eastAsia="仿宋_GB2312" w:cs="仿宋_GB2312"/>
          <w:kern w:val="0"/>
          <w:sz w:val="28"/>
          <w:szCs w:val="28"/>
        </w:rPr>
        <w:t>4</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未按工作</w:t>
      </w:r>
      <w:r>
        <w:rPr>
          <w:rFonts w:hint="eastAsia" w:ascii="仿宋_GB2312" w:hAnsi="仿宋" w:eastAsia="仿宋_GB2312" w:cs="仿宋_GB2312"/>
          <w:color w:val="000000"/>
          <w:kern w:val="0"/>
          <w:sz w:val="28"/>
          <w:szCs w:val="28"/>
        </w:rPr>
        <w:t>流程开办“杨凌市场监管”视频号、“杨凌市场监管”抖音短视频。</w:t>
      </w:r>
    </w:p>
    <w:p>
      <w:pPr>
        <w:ind w:firstLine="560" w:firstLineChars="200"/>
        <w:rPr>
          <w:rFonts w:ascii="仿宋_GB2312" w:hAnsi="仿宋" w:eastAsia="仿宋_GB2312" w:cs="仿宋_GB2312"/>
          <w:color w:val="000000"/>
          <w:kern w:val="0"/>
          <w:sz w:val="28"/>
          <w:szCs w:val="28"/>
        </w:rPr>
      </w:pPr>
      <w:r>
        <w:rPr>
          <w:rFonts w:ascii="仿宋_GB2312" w:hAnsi="仿宋" w:eastAsia="仿宋_GB2312" w:cs="仿宋_GB2312"/>
          <w:kern w:val="0"/>
          <w:sz w:val="28"/>
          <w:szCs w:val="28"/>
        </w:rPr>
        <w:t>5.</w:t>
      </w:r>
      <w:r>
        <w:rPr>
          <w:rFonts w:hint="eastAsia" w:ascii="仿宋_GB2312" w:hAnsi="仿宋" w:eastAsia="仿宋_GB2312" w:cs="仿宋_GB2312"/>
          <w:color w:val="000000"/>
          <w:kern w:val="0"/>
          <w:sz w:val="28"/>
          <w:szCs w:val="28"/>
        </w:rPr>
        <w:t>示范区市场监督管理局（知识产权局）网站提供的部分政务新媒体账号无法正常访问，如“杨凌市场监管”抖音短视频。</w:t>
      </w:r>
    </w:p>
    <w:p>
      <w:pPr>
        <w:ind w:firstLine="560" w:firstLineChars="200"/>
        <w:rPr>
          <w:rFonts w:ascii="仿宋_GB2312" w:hAnsi="仿宋" w:eastAsia="仿宋_GB2312" w:cs="仿宋_GB2312"/>
          <w:color w:val="000000"/>
          <w:kern w:val="0"/>
          <w:sz w:val="28"/>
          <w:szCs w:val="28"/>
        </w:rPr>
      </w:pPr>
      <w:r>
        <w:rPr>
          <w:rFonts w:ascii="仿宋_GB2312" w:hAnsi="仿宋" w:eastAsia="仿宋_GB2312" w:cs="仿宋_GB2312"/>
          <w:kern w:val="0"/>
          <w:sz w:val="28"/>
          <w:szCs w:val="28"/>
        </w:rPr>
        <w:t>6.</w:t>
      </w:r>
      <w:r>
        <w:rPr>
          <w:rFonts w:hint="eastAsia" w:ascii="仿宋_GB2312" w:hAnsi="仿宋" w:eastAsia="仿宋_GB2312" w:cs="仿宋_GB2312"/>
          <w:color w:val="000000"/>
          <w:kern w:val="0"/>
          <w:sz w:val="28"/>
          <w:szCs w:val="28"/>
        </w:rPr>
        <w:t>示范区市场监督管理局</w:t>
      </w:r>
      <w:bookmarkStart w:id="10" w:name="_Hlk150528766"/>
      <w:r>
        <w:rPr>
          <w:rFonts w:hint="eastAsia" w:ascii="仿宋_GB2312" w:hAnsi="仿宋" w:eastAsia="仿宋_GB2312" w:cs="仿宋_GB2312"/>
          <w:color w:val="000000"/>
          <w:kern w:val="0"/>
          <w:sz w:val="28"/>
          <w:szCs w:val="28"/>
        </w:rPr>
        <w:t>（知识产权局）</w:t>
      </w:r>
      <w:bookmarkEnd w:id="10"/>
      <w:r>
        <w:rPr>
          <w:rFonts w:hint="eastAsia" w:ascii="仿宋_GB2312" w:hAnsi="仿宋" w:eastAsia="仿宋_GB2312" w:cs="仿宋_GB2312"/>
          <w:color w:val="000000"/>
          <w:kern w:val="0"/>
          <w:sz w:val="28"/>
          <w:szCs w:val="28"/>
        </w:rPr>
        <w:t>“杨凌市场监管”视频号，监测时间点前2周内，未及时更新。</w:t>
      </w:r>
    </w:p>
    <w:p>
      <w:pPr>
        <w:ind w:firstLine="560" w:firstLineChars="200"/>
        <w:rPr>
          <w:rFonts w:ascii="仿宋_GB2312" w:hAnsi="仿宋" w:eastAsia="仿宋_GB2312" w:cs="仿宋_GB2312"/>
          <w:color w:val="000000"/>
          <w:kern w:val="0"/>
          <w:sz w:val="28"/>
          <w:szCs w:val="28"/>
        </w:rPr>
      </w:pPr>
      <w:r>
        <w:rPr>
          <w:rFonts w:hint="eastAsia" w:ascii="仿宋_GB2312" w:hAnsi="仿宋" w:eastAsia="仿宋_GB2312" w:cs="仿宋_GB2312"/>
          <w:color w:val="000000"/>
          <w:kern w:val="0"/>
          <w:sz w:val="28"/>
          <w:szCs w:val="28"/>
        </w:rPr>
        <w:t>7</w:t>
      </w:r>
      <w:r>
        <w:rPr>
          <w:rFonts w:ascii="仿宋_GB2312" w:hAnsi="仿宋" w:eastAsia="仿宋_GB2312" w:cs="仿宋_GB2312"/>
          <w:color w:val="000000"/>
          <w:kern w:val="0"/>
          <w:sz w:val="28"/>
          <w:szCs w:val="28"/>
        </w:rPr>
        <w:t>.</w:t>
      </w:r>
      <w:r>
        <w:rPr>
          <w:rFonts w:hint="eastAsia" w:ascii="仿宋_GB2312" w:hAnsi="仿宋" w:eastAsia="仿宋_GB2312" w:cs="仿宋_GB2312"/>
          <w:color w:val="000000"/>
          <w:kern w:val="0"/>
          <w:sz w:val="28"/>
          <w:szCs w:val="28"/>
        </w:rPr>
        <w:t>示范区市场监督管理局（知识产权局）“杨凌市场监督管理”新浪微博账号，每季度（1-3季度）围绕本职工作发布原创信息少于3条。</w:t>
      </w:r>
    </w:p>
    <w:p>
      <w:pPr>
        <w:ind w:firstLine="560" w:firstLineChars="200"/>
      </w:pPr>
      <w:r>
        <w:rPr>
          <w:rFonts w:hint="eastAsia" w:ascii="仿宋_GB2312" w:hAnsi="仿宋" w:eastAsia="仿宋_GB2312" w:cs="仿宋_GB2312"/>
          <w:color w:val="000000"/>
          <w:kern w:val="0"/>
          <w:sz w:val="28"/>
          <w:szCs w:val="28"/>
        </w:rPr>
        <w:t>8</w:t>
      </w:r>
      <w:r>
        <w:rPr>
          <w:rFonts w:ascii="仿宋_GB2312" w:hAnsi="仿宋" w:eastAsia="仿宋_GB2312" w:cs="仿宋_GB2312"/>
          <w:color w:val="000000"/>
          <w:kern w:val="0"/>
          <w:sz w:val="28"/>
          <w:szCs w:val="28"/>
        </w:rPr>
        <w:t>.</w:t>
      </w:r>
      <w:r>
        <w:rPr>
          <w:rFonts w:hint="eastAsia" w:ascii="仿宋_GB2312" w:hAnsi="仿宋" w:eastAsia="仿宋_GB2312" w:cs="仿宋_GB2312"/>
          <w:color w:val="000000"/>
          <w:kern w:val="0"/>
          <w:sz w:val="28"/>
          <w:szCs w:val="28"/>
        </w:rPr>
        <w:t>示范区市场监督管理局（知识产权局）“杨凌市场监管”微信订阅号、“杨凌市场监督管理”新浪微博账号，未对本部门网站发布的重要政策信息进行转载，如“杨凌示范区市场监督管理局关于对第一类医疗器械产品备案评审结果的公示”。</w:t>
      </w:r>
    </w:p>
    <w:p>
      <w:pPr>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9.</w:t>
      </w:r>
      <w:r>
        <w:rPr>
          <w:rFonts w:hint="eastAsia" w:ascii="仿宋_GB2312" w:hAnsi="仿宋" w:eastAsia="仿宋_GB2312" w:cs="仿宋_GB2312"/>
          <w:kern w:val="0"/>
          <w:sz w:val="28"/>
          <w:szCs w:val="28"/>
        </w:rPr>
        <w:t>未在管委会网站“法定主动公开内容—发展规划—专项规划”公开《杨凌示范区“十四五”市场监管现代化发展规划》信息。</w:t>
      </w:r>
    </w:p>
    <w:p>
      <w:pPr>
        <w:tabs>
          <w:tab w:val="left" w:pos="630"/>
        </w:tabs>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10.</w:t>
      </w:r>
      <w:r>
        <w:rPr>
          <w:rFonts w:hint="eastAsia" w:ascii="仿宋_GB2312" w:hAnsi="仿宋" w:eastAsia="仿宋_GB2312" w:cs="仿宋_GB2312"/>
          <w:kern w:val="0"/>
          <w:sz w:val="28"/>
          <w:szCs w:val="28"/>
        </w:rPr>
        <w:t>管委会网站“权责清单”栏目链接至“陕西省权责清单统一发布平台”，缺少行政处罚、行政强制、行政检查事项。</w:t>
      </w:r>
    </w:p>
    <w:p>
      <w:pPr>
        <w:tabs>
          <w:tab w:val="left" w:pos="600"/>
        </w:tabs>
      </w:pPr>
    </w:p>
    <w:p>
      <w:pPr>
        <w:widowControl/>
        <w:textAlignment w:val="center"/>
        <w:rPr>
          <w:rFonts w:hint="eastAsia" w:ascii="仿宋_GB2312" w:hAnsi="仿宋" w:eastAsia="仿宋_GB2312" w:cs="仿宋_GB2312"/>
          <w:color w:val="000000"/>
          <w:kern w:val="0"/>
          <w:sz w:val="28"/>
          <w:szCs w:val="28"/>
        </w:rPr>
        <w:sectPr>
          <w:pgSz w:w="11906" w:h="16838"/>
          <w:pgMar w:top="1440" w:right="1800" w:bottom="1440" w:left="1800" w:header="851" w:footer="992" w:gutter="0"/>
          <w:cols w:space="425" w:num="1"/>
          <w:docGrid w:type="lines" w:linePitch="312" w:charSpace="0"/>
        </w:sectPr>
      </w:pPr>
    </w:p>
    <w:p>
      <w:pPr>
        <w:widowControl/>
        <w:jc w:val="left"/>
        <w:rPr>
          <w:rFonts w:ascii="仿宋_GB2312" w:eastAsia="仿宋_GB2312"/>
          <w:sz w:val="32"/>
          <w:szCs w:val="32"/>
        </w:rPr>
      </w:pPr>
      <w:r>
        <w:rPr>
          <w:rFonts w:hint="eastAsia" w:ascii="仿宋_GB2312" w:eastAsia="仿宋_GB2312"/>
          <w:sz w:val="32"/>
          <w:szCs w:val="32"/>
        </w:rPr>
        <w:t>附件2</w:t>
      </w:r>
      <w:r>
        <w:rPr>
          <w:rFonts w:ascii="仿宋_GB2312" w:eastAsia="仿宋_GB2312"/>
          <w:sz w:val="32"/>
          <w:szCs w:val="32"/>
        </w:rPr>
        <w:t>2</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示范区统计局问题清单</w:t>
      </w:r>
    </w:p>
    <w:p>
      <w:pPr>
        <w:rPr>
          <w:rFonts w:ascii="方正小标宋简体" w:eastAsia="方正小标宋简体"/>
          <w:sz w:val="36"/>
          <w:szCs w:val="36"/>
        </w:rPr>
      </w:pP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管委会网站—法定主动公开内容—机构信息栏目链接至本部门网站首页，机构职能信息公开不全。</w:t>
      </w:r>
    </w:p>
    <w:p>
      <w:pPr>
        <w:tabs>
          <w:tab w:val="left" w:pos="630"/>
        </w:tabs>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2.</w:t>
      </w:r>
      <w:r>
        <w:rPr>
          <w:rFonts w:hint="eastAsia" w:ascii="仿宋_GB2312" w:hAnsi="仿宋" w:eastAsia="仿宋_GB2312" w:cs="仿宋_GB2312"/>
          <w:kern w:val="0"/>
          <w:sz w:val="28"/>
          <w:szCs w:val="28"/>
        </w:rPr>
        <w:t>管委会网站“权责清单”栏目链接至“陕西省权责清单统一发布平台”，缺少行政处罚、行政强制、行政检查事项。</w:t>
      </w:r>
    </w:p>
    <w:p>
      <w:pPr>
        <w:widowControl/>
        <w:textAlignment w:val="center"/>
        <w:rPr>
          <w:rFonts w:hint="eastAsia" w:ascii="仿宋_GB2312" w:hAnsi="仿宋" w:eastAsia="仿宋_GB2312" w:cs="仿宋_GB2312"/>
          <w:color w:val="000000"/>
          <w:kern w:val="0"/>
          <w:sz w:val="28"/>
          <w:szCs w:val="28"/>
        </w:rPr>
        <w:sectPr>
          <w:pgSz w:w="11906" w:h="16838"/>
          <w:pgMar w:top="1440" w:right="1800" w:bottom="1440" w:left="1800" w:header="851" w:footer="992" w:gutter="0"/>
          <w:cols w:space="425" w:num="1"/>
          <w:docGrid w:type="lines" w:linePitch="312" w:charSpace="0"/>
        </w:sectPr>
      </w:pPr>
    </w:p>
    <w:p>
      <w:pPr>
        <w:widowControl/>
        <w:jc w:val="left"/>
        <w:rPr>
          <w:rFonts w:ascii="仿宋_GB2312" w:eastAsia="仿宋_GB2312"/>
          <w:sz w:val="32"/>
          <w:szCs w:val="32"/>
        </w:rPr>
      </w:pPr>
      <w:r>
        <w:rPr>
          <w:rFonts w:hint="eastAsia" w:ascii="仿宋_GB2312" w:eastAsia="仿宋_GB2312"/>
          <w:sz w:val="32"/>
          <w:szCs w:val="32"/>
        </w:rPr>
        <w:t>附件2</w:t>
      </w:r>
      <w:r>
        <w:rPr>
          <w:rFonts w:ascii="仿宋_GB2312" w:eastAsia="仿宋_GB2312"/>
          <w:sz w:val="32"/>
          <w:szCs w:val="32"/>
        </w:rPr>
        <w:t>3</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示范区金融监管局问题清单</w:t>
      </w:r>
    </w:p>
    <w:p>
      <w:pPr>
        <w:rPr>
          <w:rFonts w:ascii="方正小标宋简体" w:eastAsia="方正小标宋简体"/>
          <w:sz w:val="36"/>
          <w:szCs w:val="36"/>
        </w:rPr>
      </w:pP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管委会网站—法定主动公开内容—机构信息栏目链接至本部门网站首页，机构职能信息公开不全。</w:t>
      </w:r>
    </w:p>
    <w:p>
      <w:pPr>
        <w:tabs>
          <w:tab w:val="left" w:pos="630"/>
        </w:tabs>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2.</w:t>
      </w:r>
      <w:r>
        <w:rPr>
          <w:rFonts w:hint="eastAsia" w:ascii="仿宋_GB2312" w:hAnsi="仿宋" w:eastAsia="仿宋_GB2312" w:cs="仿宋_GB2312"/>
          <w:kern w:val="0"/>
          <w:sz w:val="28"/>
          <w:szCs w:val="28"/>
        </w:rPr>
        <w:t>管委会网站“权责清单”栏目链接至“陕西省权责清单统一发布平台”，缺少行政处罚、行政强制、行政检查事项。</w:t>
      </w:r>
    </w:p>
    <w:p>
      <w:pPr>
        <w:ind w:firstLine="560" w:firstLineChars="200"/>
        <w:rPr>
          <w:rFonts w:ascii="仿宋_GB2312" w:hAnsi="仿宋" w:eastAsia="仿宋_GB2312" w:cs="仿宋_GB2312"/>
          <w:kern w:val="0"/>
          <w:sz w:val="28"/>
          <w:szCs w:val="28"/>
        </w:rPr>
      </w:pPr>
    </w:p>
    <w:p/>
    <w:p>
      <w:pPr>
        <w:widowControl/>
        <w:textAlignment w:val="center"/>
        <w:rPr>
          <w:rFonts w:hint="eastAsia" w:ascii="仿宋_GB2312" w:hAnsi="仿宋" w:eastAsia="仿宋_GB2312" w:cs="仿宋_GB2312"/>
          <w:color w:val="000000"/>
          <w:kern w:val="0"/>
          <w:sz w:val="28"/>
          <w:szCs w:val="28"/>
        </w:rPr>
        <w:sectPr>
          <w:pgSz w:w="11906" w:h="16838"/>
          <w:pgMar w:top="1440" w:right="1800" w:bottom="1440" w:left="1800" w:header="851" w:footer="992" w:gutter="0"/>
          <w:cols w:space="425" w:num="1"/>
          <w:docGrid w:type="lines" w:linePitch="312" w:charSpace="0"/>
        </w:sectPr>
      </w:pPr>
    </w:p>
    <w:p>
      <w:pPr>
        <w:widowControl/>
        <w:jc w:val="left"/>
        <w:rPr>
          <w:rFonts w:ascii="仿宋_GB2312" w:eastAsia="仿宋_GB2312"/>
          <w:sz w:val="32"/>
          <w:szCs w:val="32"/>
        </w:rPr>
      </w:pPr>
      <w:r>
        <w:rPr>
          <w:rFonts w:hint="eastAsia" w:ascii="仿宋_GB2312" w:eastAsia="仿宋_GB2312"/>
          <w:sz w:val="32"/>
          <w:szCs w:val="32"/>
        </w:rPr>
        <w:t>附件2</w:t>
      </w:r>
      <w:r>
        <w:rPr>
          <w:rFonts w:ascii="仿宋_GB2312" w:eastAsia="仿宋_GB2312"/>
          <w:sz w:val="32"/>
          <w:szCs w:val="32"/>
        </w:rPr>
        <w:t>4</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示范区投资促进局问题清单</w:t>
      </w:r>
    </w:p>
    <w:p>
      <w:pPr>
        <w:rPr>
          <w:rFonts w:ascii="仿宋" w:hAnsi="仿宋" w:eastAsia="仿宋" w:cs="仿宋"/>
          <w:b/>
          <w:bCs/>
          <w:sz w:val="32"/>
          <w:szCs w:val="32"/>
        </w:rPr>
      </w:pP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管委会网站—法定主动公开内容—机构信息栏目链接至本部门网站首页，机构职能信息公开不全。</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2</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未在管委会网站“法定主动公开内容—发展规划—专项规划”公开《杨凌示范区招商引资产业布局“十四五”规划》信息。</w:t>
      </w:r>
    </w:p>
    <w:p>
      <w:pPr>
        <w:ind w:firstLine="560" w:firstLineChars="200"/>
        <w:rPr>
          <w:rFonts w:ascii="仿宋_GB2312" w:hAnsi="仿宋" w:eastAsia="仿宋_GB2312" w:cs="仿宋_GB2312"/>
          <w:kern w:val="0"/>
          <w:sz w:val="28"/>
          <w:szCs w:val="28"/>
        </w:rPr>
      </w:pPr>
    </w:p>
    <w:p/>
    <w:p>
      <w:pPr>
        <w:widowControl/>
        <w:textAlignment w:val="center"/>
        <w:rPr>
          <w:rFonts w:hint="eastAsia" w:ascii="仿宋_GB2312" w:hAnsi="仿宋" w:eastAsia="仿宋_GB2312" w:cs="仿宋_GB2312"/>
          <w:color w:val="000000"/>
          <w:kern w:val="0"/>
          <w:sz w:val="28"/>
          <w:szCs w:val="28"/>
        </w:rPr>
        <w:sectPr>
          <w:pgSz w:w="11906" w:h="16838"/>
          <w:pgMar w:top="1440" w:right="1800" w:bottom="1440" w:left="1800" w:header="851" w:footer="992" w:gutter="0"/>
          <w:cols w:space="425" w:num="1"/>
          <w:docGrid w:type="lines" w:linePitch="312" w:charSpace="0"/>
        </w:sectPr>
      </w:pPr>
    </w:p>
    <w:p>
      <w:pPr>
        <w:widowControl/>
        <w:jc w:val="left"/>
        <w:rPr>
          <w:rFonts w:ascii="仿宋_GB2312" w:eastAsia="仿宋_GB2312"/>
          <w:sz w:val="32"/>
          <w:szCs w:val="32"/>
        </w:rPr>
      </w:pPr>
      <w:r>
        <w:rPr>
          <w:rFonts w:hint="eastAsia" w:ascii="仿宋_GB2312" w:eastAsia="仿宋_GB2312"/>
          <w:sz w:val="32"/>
          <w:szCs w:val="32"/>
        </w:rPr>
        <w:t>附件2</w:t>
      </w:r>
      <w:r>
        <w:rPr>
          <w:rFonts w:ascii="仿宋_GB2312" w:eastAsia="仿宋_GB2312"/>
          <w:sz w:val="32"/>
          <w:szCs w:val="32"/>
        </w:rPr>
        <w:t>5</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示范区自贸办问题清单</w:t>
      </w:r>
    </w:p>
    <w:p>
      <w:pPr>
        <w:rPr>
          <w:rFonts w:ascii="方正小标宋简体" w:eastAsia="方正小标宋简体"/>
          <w:sz w:val="36"/>
          <w:szCs w:val="36"/>
        </w:rPr>
      </w:pP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1</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管委会网站—法定主动公开内容—机构信息栏目链接至本部门网站首页，机构职能信息公开不全。</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2</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未在管委会网站“法定主动公开内容—发展规划—专项规划”公开《中国（陕西）自贸区杨凌片区发展“十四五”规划》信息。</w:t>
      </w:r>
    </w:p>
    <w:p>
      <w:pPr>
        <w:ind w:firstLine="560" w:firstLineChars="200"/>
        <w:rPr>
          <w:rFonts w:ascii="仿宋_GB2312" w:hAnsi="仿宋" w:eastAsia="仿宋_GB2312" w:cs="仿宋_GB2312"/>
          <w:kern w:val="0"/>
          <w:sz w:val="28"/>
          <w:szCs w:val="28"/>
        </w:rPr>
      </w:pPr>
    </w:p>
    <w:p>
      <w:pPr>
        <w:widowControl/>
        <w:textAlignment w:val="center"/>
        <w:rPr>
          <w:rFonts w:hint="eastAsia" w:ascii="仿宋_GB2312" w:hAnsi="仿宋" w:eastAsia="仿宋_GB2312" w:cs="仿宋_GB2312"/>
          <w:color w:val="000000"/>
          <w:kern w:val="0"/>
          <w:sz w:val="28"/>
          <w:szCs w:val="28"/>
        </w:rPr>
        <w:sectPr>
          <w:pgSz w:w="11906" w:h="16838"/>
          <w:pgMar w:top="1440" w:right="1800" w:bottom="1440" w:left="1800" w:header="851" w:footer="992" w:gutter="0"/>
          <w:cols w:space="425" w:num="1"/>
          <w:docGrid w:type="lines" w:linePitch="312" w:charSpace="0"/>
        </w:sectPr>
      </w:pPr>
    </w:p>
    <w:p>
      <w:pPr>
        <w:widowControl/>
        <w:jc w:val="left"/>
        <w:rPr>
          <w:rFonts w:ascii="仿宋_GB2312" w:eastAsia="仿宋_GB2312"/>
          <w:sz w:val="32"/>
          <w:szCs w:val="32"/>
        </w:rPr>
      </w:pPr>
      <w:r>
        <w:rPr>
          <w:rFonts w:hint="eastAsia" w:ascii="仿宋_GB2312" w:eastAsia="仿宋_GB2312"/>
          <w:sz w:val="32"/>
          <w:szCs w:val="32"/>
        </w:rPr>
        <w:t>附件2</w:t>
      </w:r>
      <w:r>
        <w:rPr>
          <w:rFonts w:ascii="仿宋_GB2312" w:eastAsia="仿宋_GB2312"/>
          <w:sz w:val="32"/>
          <w:szCs w:val="32"/>
        </w:rPr>
        <w:t>6</w:t>
      </w:r>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农科传媒集团问题清单</w:t>
      </w:r>
    </w:p>
    <w:p>
      <w:pPr>
        <w:rPr>
          <w:rFonts w:ascii="仿宋" w:hAnsi="仿宋" w:eastAsia="仿宋" w:cs="仿宋"/>
          <w:b/>
          <w:bCs/>
          <w:sz w:val="32"/>
          <w:szCs w:val="32"/>
        </w:rPr>
      </w:pPr>
    </w:p>
    <w:p>
      <w:pPr>
        <w:ind w:firstLine="560" w:firstLineChars="200"/>
        <w:rPr>
          <w:rFonts w:ascii="仿宋_GB2312" w:hAnsi="仿宋" w:eastAsia="仿宋_GB2312" w:cs="仿宋_GB2312"/>
          <w:color w:val="000000"/>
          <w:kern w:val="0"/>
          <w:sz w:val="28"/>
          <w:szCs w:val="28"/>
        </w:rPr>
      </w:pPr>
      <w:r>
        <w:rPr>
          <w:rFonts w:hint="eastAsia" w:ascii="仿宋_GB2312" w:hAnsi="仿宋" w:eastAsia="仿宋_GB2312" w:cs="仿宋_GB2312"/>
          <w:color w:val="000000"/>
          <w:kern w:val="0"/>
          <w:sz w:val="28"/>
          <w:szCs w:val="28"/>
        </w:rPr>
        <w:t>1</w:t>
      </w:r>
      <w:r>
        <w:rPr>
          <w:rFonts w:ascii="仿宋_GB2312" w:hAnsi="仿宋" w:eastAsia="仿宋_GB2312" w:cs="仿宋_GB2312"/>
          <w:color w:val="000000"/>
          <w:kern w:val="0"/>
          <w:sz w:val="28"/>
          <w:szCs w:val="28"/>
        </w:rPr>
        <w:t>.</w:t>
      </w:r>
      <w:r>
        <w:rPr>
          <w:rFonts w:hint="eastAsia" w:ascii="仿宋_GB2312" w:hAnsi="仿宋" w:eastAsia="仿宋_GB2312" w:cs="仿宋_GB2312"/>
          <w:color w:val="000000"/>
          <w:kern w:val="0"/>
          <w:sz w:val="28"/>
          <w:szCs w:val="28"/>
        </w:rPr>
        <w:t>“杨凌发布”新浪微博账号，未对本级政府网站发布的重要政策信息进行转载，如“杨凌示范区推进气象高质量发展建设高新农业气象服务示范区实施方案”“关于推进人力资源服务业高质量发展的实施意见”。</w:t>
      </w:r>
    </w:p>
    <w:p>
      <w:pPr>
        <w:ind w:firstLine="560" w:firstLineChars="2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2</w:t>
      </w: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杨凌示范区未在新浪微博账号中查询到对本级政府制定政策进行解读的信息。未在政府网站“政策解读”栏目中查询到视频动漫形式的解读材料。未在微信公众号中查询到图片图表、视频动漫形式的解读材料。未查询到邀请专家学者和领导干部解读政策的信息。微信公众号解读材料未与原政策文件相互关联。</w:t>
      </w:r>
    </w:p>
    <w:p>
      <w:pPr>
        <w:ind w:firstLine="560" w:firstLineChars="200"/>
      </w:pPr>
      <w:r>
        <w:rPr>
          <w:rFonts w:ascii="仿宋_GB2312" w:hAnsi="仿宋" w:eastAsia="仿宋_GB2312" w:cs="仿宋_GB2312"/>
          <w:kern w:val="0"/>
          <w:sz w:val="28"/>
          <w:szCs w:val="28"/>
        </w:rPr>
        <w:t>3.</w:t>
      </w:r>
      <w:r>
        <w:rPr>
          <w:rFonts w:hint="eastAsia" w:ascii="仿宋_GB2312" w:hAnsi="仿宋" w:eastAsia="仿宋_GB2312" w:cs="仿宋_GB2312"/>
          <w:kern w:val="0"/>
          <w:sz w:val="28"/>
          <w:szCs w:val="28"/>
        </w:rPr>
        <w:t>杨凌示范区微信公众号部分解读材料未对政策背景依据方面进行实质性解读。</w:t>
      </w:r>
    </w:p>
    <w:p>
      <w:pPr>
        <w:widowControl/>
        <w:textAlignment w:val="center"/>
        <w:rPr>
          <w:rFonts w:hint="eastAsia" w:ascii="仿宋_GB2312" w:hAnsi="仿宋" w:eastAsia="仿宋_GB2312" w:cs="仿宋_GB2312"/>
          <w:color w:val="000000"/>
          <w:kern w:val="0"/>
          <w:sz w:val="28"/>
          <w:szCs w:val="28"/>
        </w:rPr>
      </w:pPr>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atangChe">
    <w:panose1 w:val="02030609000101010101"/>
    <w:charset w:val="81"/>
    <w:family w:val="moder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8"/>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3NzYwYzBhMWRmNDEwYjQ4ZDBkNjZjNzhmNTk5MDIifQ=="/>
    <w:docVar w:name="metasota_documentID" w:val="8278158364624879616"/>
  </w:docVars>
  <w:rsids>
    <w:rsidRoot w:val="466E1DD2"/>
    <w:rsid w:val="000218D8"/>
    <w:rsid w:val="000261AC"/>
    <w:rsid w:val="00027C52"/>
    <w:rsid w:val="00032868"/>
    <w:rsid w:val="00033396"/>
    <w:rsid w:val="00064F78"/>
    <w:rsid w:val="00073003"/>
    <w:rsid w:val="0007445F"/>
    <w:rsid w:val="0007710B"/>
    <w:rsid w:val="00083CE9"/>
    <w:rsid w:val="00096EF4"/>
    <w:rsid w:val="00097947"/>
    <w:rsid w:val="000A0452"/>
    <w:rsid w:val="000A28ED"/>
    <w:rsid w:val="000B552E"/>
    <w:rsid w:val="000C0519"/>
    <w:rsid w:val="000C13CE"/>
    <w:rsid w:val="000D48A3"/>
    <w:rsid w:val="000E6626"/>
    <w:rsid w:val="000F5EE0"/>
    <w:rsid w:val="00106687"/>
    <w:rsid w:val="00114FA7"/>
    <w:rsid w:val="0013710D"/>
    <w:rsid w:val="00152E73"/>
    <w:rsid w:val="00164A0E"/>
    <w:rsid w:val="00182D05"/>
    <w:rsid w:val="001976DF"/>
    <w:rsid w:val="00197C07"/>
    <w:rsid w:val="001A4B9C"/>
    <w:rsid w:val="001D7A10"/>
    <w:rsid w:val="001F058E"/>
    <w:rsid w:val="00231034"/>
    <w:rsid w:val="00260BBB"/>
    <w:rsid w:val="00286F63"/>
    <w:rsid w:val="0029059C"/>
    <w:rsid w:val="002919F5"/>
    <w:rsid w:val="002A3CC5"/>
    <w:rsid w:val="002B2660"/>
    <w:rsid w:val="002C0A9C"/>
    <w:rsid w:val="002F65E9"/>
    <w:rsid w:val="00304079"/>
    <w:rsid w:val="00321E04"/>
    <w:rsid w:val="003306B1"/>
    <w:rsid w:val="003406C4"/>
    <w:rsid w:val="003417C3"/>
    <w:rsid w:val="0038347C"/>
    <w:rsid w:val="00391A84"/>
    <w:rsid w:val="00395B75"/>
    <w:rsid w:val="003979BB"/>
    <w:rsid w:val="003A6478"/>
    <w:rsid w:val="003B25BF"/>
    <w:rsid w:val="003C25BF"/>
    <w:rsid w:val="003D0DF7"/>
    <w:rsid w:val="003D12E2"/>
    <w:rsid w:val="004045CA"/>
    <w:rsid w:val="00410D34"/>
    <w:rsid w:val="00413CD1"/>
    <w:rsid w:val="00414CA6"/>
    <w:rsid w:val="00443A1D"/>
    <w:rsid w:val="004506E9"/>
    <w:rsid w:val="00472A38"/>
    <w:rsid w:val="0047568E"/>
    <w:rsid w:val="00476233"/>
    <w:rsid w:val="00483BEA"/>
    <w:rsid w:val="004852BC"/>
    <w:rsid w:val="00494FB6"/>
    <w:rsid w:val="004A2CA0"/>
    <w:rsid w:val="004A3BA5"/>
    <w:rsid w:val="004B5298"/>
    <w:rsid w:val="004C0925"/>
    <w:rsid w:val="004D1904"/>
    <w:rsid w:val="004D3FDF"/>
    <w:rsid w:val="004D43B7"/>
    <w:rsid w:val="004E2414"/>
    <w:rsid w:val="004F4166"/>
    <w:rsid w:val="0050400F"/>
    <w:rsid w:val="005108AC"/>
    <w:rsid w:val="00530780"/>
    <w:rsid w:val="00556EEA"/>
    <w:rsid w:val="00574D6F"/>
    <w:rsid w:val="005769BB"/>
    <w:rsid w:val="00585AAA"/>
    <w:rsid w:val="0059568E"/>
    <w:rsid w:val="005D44A8"/>
    <w:rsid w:val="005E37F6"/>
    <w:rsid w:val="00604D51"/>
    <w:rsid w:val="00643D54"/>
    <w:rsid w:val="00676BB6"/>
    <w:rsid w:val="006B61FC"/>
    <w:rsid w:val="006D2F37"/>
    <w:rsid w:val="006D3171"/>
    <w:rsid w:val="006F040B"/>
    <w:rsid w:val="00701B8C"/>
    <w:rsid w:val="00793184"/>
    <w:rsid w:val="007B483F"/>
    <w:rsid w:val="007C3F06"/>
    <w:rsid w:val="008031AB"/>
    <w:rsid w:val="008262F1"/>
    <w:rsid w:val="008278D8"/>
    <w:rsid w:val="00836083"/>
    <w:rsid w:val="00847134"/>
    <w:rsid w:val="00856CC7"/>
    <w:rsid w:val="00867051"/>
    <w:rsid w:val="00870E2B"/>
    <w:rsid w:val="00877226"/>
    <w:rsid w:val="00894E18"/>
    <w:rsid w:val="0089510D"/>
    <w:rsid w:val="00897B06"/>
    <w:rsid w:val="008A32B4"/>
    <w:rsid w:val="008A3488"/>
    <w:rsid w:val="008C35D4"/>
    <w:rsid w:val="008C3D43"/>
    <w:rsid w:val="008C6699"/>
    <w:rsid w:val="008D1009"/>
    <w:rsid w:val="008D3920"/>
    <w:rsid w:val="008E31FB"/>
    <w:rsid w:val="008F55B2"/>
    <w:rsid w:val="008F577B"/>
    <w:rsid w:val="00902D2A"/>
    <w:rsid w:val="0092579E"/>
    <w:rsid w:val="00940ABA"/>
    <w:rsid w:val="00955124"/>
    <w:rsid w:val="00977719"/>
    <w:rsid w:val="009A05DE"/>
    <w:rsid w:val="009B07EA"/>
    <w:rsid w:val="009B45DA"/>
    <w:rsid w:val="009B6E0E"/>
    <w:rsid w:val="009B7301"/>
    <w:rsid w:val="009C0418"/>
    <w:rsid w:val="009E4E05"/>
    <w:rsid w:val="009E5CE5"/>
    <w:rsid w:val="009F7378"/>
    <w:rsid w:val="00A06BD7"/>
    <w:rsid w:val="00A34209"/>
    <w:rsid w:val="00A42B98"/>
    <w:rsid w:val="00A62761"/>
    <w:rsid w:val="00A77768"/>
    <w:rsid w:val="00A942DA"/>
    <w:rsid w:val="00AA19F9"/>
    <w:rsid w:val="00AC39C3"/>
    <w:rsid w:val="00AC3F8B"/>
    <w:rsid w:val="00B07C6B"/>
    <w:rsid w:val="00B12565"/>
    <w:rsid w:val="00B357C3"/>
    <w:rsid w:val="00B441A3"/>
    <w:rsid w:val="00B6283D"/>
    <w:rsid w:val="00B80318"/>
    <w:rsid w:val="00B90653"/>
    <w:rsid w:val="00B91AC5"/>
    <w:rsid w:val="00BA7BFE"/>
    <w:rsid w:val="00BB1046"/>
    <w:rsid w:val="00BC39DF"/>
    <w:rsid w:val="00BC6FAA"/>
    <w:rsid w:val="00BE32FB"/>
    <w:rsid w:val="00BF395F"/>
    <w:rsid w:val="00C2287A"/>
    <w:rsid w:val="00C2627F"/>
    <w:rsid w:val="00C43D87"/>
    <w:rsid w:val="00C44617"/>
    <w:rsid w:val="00C4799D"/>
    <w:rsid w:val="00C53A47"/>
    <w:rsid w:val="00C8724A"/>
    <w:rsid w:val="00CB032B"/>
    <w:rsid w:val="00CB1084"/>
    <w:rsid w:val="00CC181E"/>
    <w:rsid w:val="00CF1E1E"/>
    <w:rsid w:val="00D074A9"/>
    <w:rsid w:val="00D141CF"/>
    <w:rsid w:val="00D252EB"/>
    <w:rsid w:val="00D27A4A"/>
    <w:rsid w:val="00D33CD3"/>
    <w:rsid w:val="00D3629C"/>
    <w:rsid w:val="00D506F2"/>
    <w:rsid w:val="00D513D7"/>
    <w:rsid w:val="00D61908"/>
    <w:rsid w:val="00D85A64"/>
    <w:rsid w:val="00D93605"/>
    <w:rsid w:val="00DA3F0E"/>
    <w:rsid w:val="00DA420C"/>
    <w:rsid w:val="00DB6528"/>
    <w:rsid w:val="00DD41EB"/>
    <w:rsid w:val="00DE0133"/>
    <w:rsid w:val="00DE7DDF"/>
    <w:rsid w:val="00E01A54"/>
    <w:rsid w:val="00E06ADF"/>
    <w:rsid w:val="00E1390A"/>
    <w:rsid w:val="00E23F80"/>
    <w:rsid w:val="00E53E3D"/>
    <w:rsid w:val="00E63681"/>
    <w:rsid w:val="00E74150"/>
    <w:rsid w:val="00E76500"/>
    <w:rsid w:val="00E82FF9"/>
    <w:rsid w:val="00EA3754"/>
    <w:rsid w:val="00EB386C"/>
    <w:rsid w:val="00EE6052"/>
    <w:rsid w:val="00F069ED"/>
    <w:rsid w:val="00F11759"/>
    <w:rsid w:val="00F21BA2"/>
    <w:rsid w:val="00F318E0"/>
    <w:rsid w:val="00F372DC"/>
    <w:rsid w:val="00F41E85"/>
    <w:rsid w:val="00F628CB"/>
    <w:rsid w:val="00F8046C"/>
    <w:rsid w:val="00F9548E"/>
    <w:rsid w:val="00FA3EBD"/>
    <w:rsid w:val="00FB00D4"/>
    <w:rsid w:val="00FB12E4"/>
    <w:rsid w:val="00FB367C"/>
    <w:rsid w:val="00FD2F33"/>
    <w:rsid w:val="0151621C"/>
    <w:rsid w:val="016E281E"/>
    <w:rsid w:val="025B5BB8"/>
    <w:rsid w:val="028D2630"/>
    <w:rsid w:val="02C46466"/>
    <w:rsid w:val="049E7DF9"/>
    <w:rsid w:val="04AC1BFF"/>
    <w:rsid w:val="060463DB"/>
    <w:rsid w:val="06173B6C"/>
    <w:rsid w:val="06DB4CDB"/>
    <w:rsid w:val="080E7C69"/>
    <w:rsid w:val="08AA4DAC"/>
    <w:rsid w:val="095249D4"/>
    <w:rsid w:val="099E4F62"/>
    <w:rsid w:val="0A540574"/>
    <w:rsid w:val="0A731783"/>
    <w:rsid w:val="0B923074"/>
    <w:rsid w:val="0C30096F"/>
    <w:rsid w:val="0CBD13DA"/>
    <w:rsid w:val="0CCE6FC3"/>
    <w:rsid w:val="0D471734"/>
    <w:rsid w:val="0E2E1318"/>
    <w:rsid w:val="0E6659EF"/>
    <w:rsid w:val="0EA953CD"/>
    <w:rsid w:val="0EE37F4A"/>
    <w:rsid w:val="0F101A78"/>
    <w:rsid w:val="10DE5D9C"/>
    <w:rsid w:val="10FD1388"/>
    <w:rsid w:val="1107713B"/>
    <w:rsid w:val="113373E5"/>
    <w:rsid w:val="11485B56"/>
    <w:rsid w:val="114A7C35"/>
    <w:rsid w:val="11CD25D7"/>
    <w:rsid w:val="12053CD0"/>
    <w:rsid w:val="120A0EF5"/>
    <w:rsid w:val="12B808A4"/>
    <w:rsid w:val="137200DC"/>
    <w:rsid w:val="15677A6A"/>
    <w:rsid w:val="15B14385"/>
    <w:rsid w:val="16344A17"/>
    <w:rsid w:val="17135B9B"/>
    <w:rsid w:val="173A130E"/>
    <w:rsid w:val="175E45E0"/>
    <w:rsid w:val="17E137CD"/>
    <w:rsid w:val="180F2024"/>
    <w:rsid w:val="18140C1B"/>
    <w:rsid w:val="18463287"/>
    <w:rsid w:val="18BA443D"/>
    <w:rsid w:val="194A3589"/>
    <w:rsid w:val="19720CC7"/>
    <w:rsid w:val="197912F3"/>
    <w:rsid w:val="1AA22383"/>
    <w:rsid w:val="1AB11450"/>
    <w:rsid w:val="1AC46DD7"/>
    <w:rsid w:val="1B353A41"/>
    <w:rsid w:val="1D6132FC"/>
    <w:rsid w:val="20041525"/>
    <w:rsid w:val="21333B81"/>
    <w:rsid w:val="213D1558"/>
    <w:rsid w:val="2190618E"/>
    <w:rsid w:val="21FF6563"/>
    <w:rsid w:val="2245341D"/>
    <w:rsid w:val="236F747C"/>
    <w:rsid w:val="243D026F"/>
    <w:rsid w:val="243E2305"/>
    <w:rsid w:val="245C243C"/>
    <w:rsid w:val="24FE1B4D"/>
    <w:rsid w:val="25046AA6"/>
    <w:rsid w:val="25381017"/>
    <w:rsid w:val="253D4233"/>
    <w:rsid w:val="253F4218"/>
    <w:rsid w:val="2562463E"/>
    <w:rsid w:val="271140E6"/>
    <w:rsid w:val="27377876"/>
    <w:rsid w:val="276F2332"/>
    <w:rsid w:val="27B76E79"/>
    <w:rsid w:val="286E0813"/>
    <w:rsid w:val="28C50405"/>
    <w:rsid w:val="296A08B2"/>
    <w:rsid w:val="2A493EA3"/>
    <w:rsid w:val="2A5E4236"/>
    <w:rsid w:val="2AEC170E"/>
    <w:rsid w:val="2AEE44EE"/>
    <w:rsid w:val="2B1233FB"/>
    <w:rsid w:val="2B9845BD"/>
    <w:rsid w:val="2C4B25F5"/>
    <w:rsid w:val="2C534527"/>
    <w:rsid w:val="2F407445"/>
    <w:rsid w:val="304F29AA"/>
    <w:rsid w:val="306B5C2C"/>
    <w:rsid w:val="311F6F18"/>
    <w:rsid w:val="31BE3033"/>
    <w:rsid w:val="326A3BB2"/>
    <w:rsid w:val="32750C59"/>
    <w:rsid w:val="331210F9"/>
    <w:rsid w:val="334878B5"/>
    <w:rsid w:val="33B207BF"/>
    <w:rsid w:val="34782F55"/>
    <w:rsid w:val="34A7450B"/>
    <w:rsid w:val="35F04CD3"/>
    <w:rsid w:val="3A1447B6"/>
    <w:rsid w:val="3A3B6D51"/>
    <w:rsid w:val="3D356E8B"/>
    <w:rsid w:val="3D6A733F"/>
    <w:rsid w:val="3E0C4B5C"/>
    <w:rsid w:val="3E8B31A3"/>
    <w:rsid w:val="3FAB267E"/>
    <w:rsid w:val="40051175"/>
    <w:rsid w:val="40C90CD5"/>
    <w:rsid w:val="41075FBC"/>
    <w:rsid w:val="412344D1"/>
    <w:rsid w:val="41A31556"/>
    <w:rsid w:val="41C23CEA"/>
    <w:rsid w:val="42176908"/>
    <w:rsid w:val="42555CCB"/>
    <w:rsid w:val="42AB3CC8"/>
    <w:rsid w:val="438211E5"/>
    <w:rsid w:val="438D20D6"/>
    <w:rsid w:val="43AD3C00"/>
    <w:rsid w:val="43EB6549"/>
    <w:rsid w:val="44D501D8"/>
    <w:rsid w:val="462B16A5"/>
    <w:rsid w:val="464834EB"/>
    <w:rsid w:val="466E1DD2"/>
    <w:rsid w:val="48492453"/>
    <w:rsid w:val="48AE70A3"/>
    <w:rsid w:val="48F12431"/>
    <w:rsid w:val="49B2660D"/>
    <w:rsid w:val="4ACE4FFD"/>
    <w:rsid w:val="4B5001C2"/>
    <w:rsid w:val="4BC92119"/>
    <w:rsid w:val="4D2B5102"/>
    <w:rsid w:val="50565F29"/>
    <w:rsid w:val="50C76B7D"/>
    <w:rsid w:val="50DA2315"/>
    <w:rsid w:val="52676BCF"/>
    <w:rsid w:val="526E2C4E"/>
    <w:rsid w:val="528C7E40"/>
    <w:rsid w:val="53017C1A"/>
    <w:rsid w:val="53FC4393"/>
    <w:rsid w:val="540E3767"/>
    <w:rsid w:val="549459EB"/>
    <w:rsid w:val="558B1572"/>
    <w:rsid w:val="55AE4185"/>
    <w:rsid w:val="569751D0"/>
    <w:rsid w:val="576032AE"/>
    <w:rsid w:val="58CF5213"/>
    <w:rsid w:val="5A0073D9"/>
    <w:rsid w:val="5A710344"/>
    <w:rsid w:val="5AE00FFA"/>
    <w:rsid w:val="5C002AF0"/>
    <w:rsid w:val="5D083833"/>
    <w:rsid w:val="5D1B3ED8"/>
    <w:rsid w:val="5D7C0306"/>
    <w:rsid w:val="5E0771FD"/>
    <w:rsid w:val="5F1A076A"/>
    <w:rsid w:val="5F4A1A8C"/>
    <w:rsid w:val="6005151A"/>
    <w:rsid w:val="603D2112"/>
    <w:rsid w:val="603E25D7"/>
    <w:rsid w:val="60CF71E1"/>
    <w:rsid w:val="611E1A72"/>
    <w:rsid w:val="6127302C"/>
    <w:rsid w:val="623B7475"/>
    <w:rsid w:val="6311083C"/>
    <w:rsid w:val="641A1253"/>
    <w:rsid w:val="64746C6E"/>
    <w:rsid w:val="647744DF"/>
    <w:rsid w:val="65C26B43"/>
    <w:rsid w:val="65C44D73"/>
    <w:rsid w:val="65E322FD"/>
    <w:rsid w:val="65EB70C0"/>
    <w:rsid w:val="6607612F"/>
    <w:rsid w:val="660E72FF"/>
    <w:rsid w:val="679F0259"/>
    <w:rsid w:val="680A5F61"/>
    <w:rsid w:val="68C230E8"/>
    <w:rsid w:val="691B0E0A"/>
    <w:rsid w:val="6B60619E"/>
    <w:rsid w:val="6B79342B"/>
    <w:rsid w:val="6C4F390D"/>
    <w:rsid w:val="6C5A55D2"/>
    <w:rsid w:val="6C5E6551"/>
    <w:rsid w:val="6D5B3C92"/>
    <w:rsid w:val="6DAA4A26"/>
    <w:rsid w:val="6E6604D4"/>
    <w:rsid w:val="704761EB"/>
    <w:rsid w:val="70556606"/>
    <w:rsid w:val="70C90342"/>
    <w:rsid w:val="715E6CDC"/>
    <w:rsid w:val="71963AE7"/>
    <w:rsid w:val="72400368"/>
    <w:rsid w:val="726F0324"/>
    <w:rsid w:val="7335188E"/>
    <w:rsid w:val="736E368D"/>
    <w:rsid w:val="7380206A"/>
    <w:rsid w:val="73B5684A"/>
    <w:rsid w:val="74725D4F"/>
    <w:rsid w:val="747A7A3E"/>
    <w:rsid w:val="758E754E"/>
    <w:rsid w:val="76417611"/>
    <w:rsid w:val="76B65598"/>
    <w:rsid w:val="76ED016A"/>
    <w:rsid w:val="783542E0"/>
    <w:rsid w:val="78DD11AC"/>
    <w:rsid w:val="79253C1B"/>
    <w:rsid w:val="7A5F1971"/>
    <w:rsid w:val="7A925976"/>
    <w:rsid w:val="7C7947C0"/>
    <w:rsid w:val="7D6C7EFD"/>
    <w:rsid w:val="7EC338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3">
    <w:name w:val="heading 3"/>
    <w:basedOn w:val="1"/>
    <w:next w:val="1"/>
    <w:unhideWhenUsed/>
    <w:qFormat/>
    <w:uiPriority w:val="9"/>
    <w:pPr>
      <w:keepNext/>
      <w:keepLines/>
      <w:spacing w:before="260" w:after="260" w:line="416" w:lineRule="auto"/>
      <w:outlineLvl w:val="2"/>
    </w:pPr>
    <w:rPr>
      <w:b/>
      <w:bCs/>
      <w:kern w:val="0"/>
      <w:sz w:val="32"/>
      <w:szCs w:val="32"/>
    </w:rPr>
  </w:style>
  <w:style w:type="paragraph" w:styleId="4">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character" w:customStyle="1" w:styleId="11">
    <w:name w:val="页眉 字符"/>
    <w:basedOn w:val="9"/>
    <w:link w:val="6"/>
    <w:qFormat/>
    <w:uiPriority w:val="0"/>
    <w:rPr>
      <w:rFonts w:ascii="Calibri" w:hAnsi="Calibri" w:cs="黑体"/>
      <w:kern w:val="2"/>
      <w:sz w:val="18"/>
      <w:szCs w:val="18"/>
    </w:rPr>
  </w:style>
  <w:style w:type="character" w:customStyle="1" w:styleId="12">
    <w:name w:val="页脚 字符"/>
    <w:basedOn w:val="9"/>
    <w:link w:val="5"/>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2</Pages>
  <Words>94</Words>
  <Characters>542</Characters>
  <Lines>4</Lines>
  <Paragraphs>1</Paragraphs>
  <TotalTime>1</TotalTime>
  <ScaleCrop>false</ScaleCrop>
  <LinksUpToDate>false</LinksUpToDate>
  <CharactersWithSpaces>635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2020-05-18T07:06:00Z</dcterms:created>
  <dc:creator>陈泽云</dc:creator>
  <cp:lastModifiedBy>示范区政务公开办</cp:lastModifiedBy>
  <cp:lastPrinted>2023-11-14T02:56:00Z</cp:lastPrinted>
  <dcterms:modified xsi:type="dcterms:W3CDTF">2023-11-15T03:33:12Z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40C1BCE4F43E454A8D791BDDE9E538A9</vt:lpwstr>
  </property>
</Properties>
</file>