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ascii="BatangChe" w:hAnsi="BatangChe" w:eastAsia="黑体"/>
          <w:sz w:val="32"/>
        </w:rPr>
      </w:pPr>
      <w:r>
        <w:rPr>
          <w:rFonts w:hint="eastAsia" w:ascii="BatangChe" w:hAnsi="BatangChe" w:eastAsia="黑体"/>
          <w:sz w:val="32"/>
        </w:rPr>
        <w:t>附件2</w:t>
      </w:r>
    </w:p>
    <w:p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2023年第一季度管委会官方微博、微信</w:t>
      </w:r>
    </w:p>
    <w:p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发布情况</w:t>
      </w:r>
      <w:bookmarkEnd w:id="0"/>
    </w:p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3"/>
        <w:tblW w:w="88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684"/>
        <w:gridCol w:w="2446"/>
        <w:gridCol w:w="25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  号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类  别</w:t>
            </w:r>
          </w:p>
        </w:tc>
        <w:tc>
          <w:tcPr>
            <w:tcW w:w="2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承办单位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发布条数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管委会官方微博</w:t>
            </w:r>
          </w:p>
        </w:tc>
        <w:tc>
          <w:tcPr>
            <w:tcW w:w="24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杨凌融媒体中心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ascii="BatangChe" w:hAnsi="BatangChe" w:eastAsia="宋体" w:cs="宋体"/>
                <w:sz w:val="24"/>
              </w:rPr>
              <w:t>180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26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管委会官方微信</w:t>
            </w:r>
          </w:p>
        </w:tc>
        <w:tc>
          <w:tcPr>
            <w:tcW w:w="244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/>
                <w:color w:val="000000"/>
                <w:sz w:val="24"/>
              </w:rPr>
            </w:pP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450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 w:eastAsia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51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2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630</w:t>
            </w:r>
          </w:p>
        </w:tc>
      </w:tr>
    </w:tbl>
    <w:p>
      <w:pPr>
        <w:autoSpaceDN w:val="0"/>
        <w:snapToGrid w:val="0"/>
        <w:spacing w:line="360" w:lineRule="auto"/>
        <w:rPr>
          <w:rFonts w:ascii="BatangChe" w:hAnsi="BatangChe" w:eastAsia="黑体"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WQ2YjQ4MTc0YWVmMzdkMTljZmFmN2NhYmI5Y2UifQ=="/>
  </w:docVars>
  <w:rsids>
    <w:rsidRoot w:val="03AB6863"/>
    <w:rsid w:val="03AB6863"/>
    <w:rsid w:val="329448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766</Words>
  <Characters>901</Characters>
  <Lines>0</Lines>
  <Paragraphs>0</Paragraphs>
  <TotalTime>0</TotalTime>
  <ScaleCrop>false</ScaleCrop>
  <LinksUpToDate>false</LinksUpToDate>
  <CharactersWithSpaces>901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2023-04-18T07:23:00Z</dcterms:created>
  <dc:creator>徐红</dc:creator>
  <cp:lastModifiedBy>徐红</cp:lastModifiedBy>
  <dcterms:modified xsi:type="dcterms:W3CDTF">2023-04-18T07:29:00Z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6EA1992B3F68409B83BEB86C79BAE9D9_13</vt:lpwstr>
  </property>
</Properties>
</file>