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ascii="BatangChe" w:hAnsi="BatangChe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2022年第四季度区内媒体信息公开情况</w:t>
      </w:r>
    </w:p>
    <w:bookmarkEnd w:id="0"/>
    <w:p>
      <w:pPr>
        <w:autoSpaceDN w:val="0"/>
        <w:ind w:firstLine="600" w:firstLineChars="250"/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2"/>
        <w:tblW w:w="88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"/>
        <w:gridCol w:w="1879"/>
        <w:gridCol w:w="1365"/>
        <w:gridCol w:w="885"/>
        <w:gridCol w:w="1342"/>
        <w:gridCol w:w="974"/>
        <w:gridCol w:w="147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1879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 xml:space="preserve">299 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 xml:space="preserve">10 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8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8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325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杨凌时讯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253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 xml:space="preserve">13 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12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 xml:space="preserve">40 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318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78" w:type="dxa"/>
            <w:vAlign w:val="center"/>
          </w:tcPr>
          <w:p>
            <w:pPr>
              <w:autoSpaceDN w:val="0"/>
              <w:jc w:val="center"/>
              <w:rPr>
                <w:rFonts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1879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552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23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 xml:space="preserve">20 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 xml:space="preserve">48 </w:t>
            </w:r>
          </w:p>
        </w:tc>
        <w:tc>
          <w:tcPr>
            <w:tcW w:w="147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BatangChe" w:hAnsi="BatangChe" w:eastAsia="宋体" w:cs="宋体"/>
                <w:sz w:val="24"/>
              </w:rPr>
            </w:pPr>
            <w:r>
              <w:rPr>
                <w:rFonts w:ascii="BatangChe" w:hAnsi="BatangChe" w:eastAsia="宋体" w:cs="宋体"/>
                <w:sz w:val="24"/>
              </w:rPr>
              <w:t>643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kNWQ2YjQ4MTc0YWVmMzdkMTljZmFmN2NhYmI5Y2UifQ=="/>
  </w:docVars>
  <w:rsids>
    <w:rsidRoot w:val="5CC37B93"/>
    <w:rsid w:val="034F16E3"/>
    <w:rsid w:val="5CC37B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77</Characters>
  <Lines>0</Lines>
  <Paragraphs>0</Paragraphs>
  <TotalTime>1</TotalTime>
  <ScaleCrop>false</ScaleCrop>
  <LinksUpToDate>false</LinksUpToDate>
  <CharactersWithSpaces>81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2023-01-19T01:48:00Z</dcterms:created>
  <dc:creator>徐红</dc:creator>
  <cp:lastModifiedBy>徐红</cp:lastModifiedBy>
  <dcterms:modified xsi:type="dcterms:W3CDTF">2023-01-19T01:49:37Z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1811CB4F72B0482094B7152AB6BB8185</vt:lpwstr>
  </property>
</Properties>
</file>