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（2018年度）</w:t>
      </w:r>
      <w:bookmarkStart w:id="0" w:name="_GoBack"/>
      <w:bookmarkEnd w:id="0"/>
    </w:p>
    <w:p>
      <w:pPr>
        <w:snapToGrid w:val="0"/>
        <w:spacing w:line="360" w:lineRule="auto"/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填报单位（盖章）：</w:t>
      </w:r>
    </w:p>
    <w:tbl>
      <w:tblPr>
        <w:tblStyle w:val="2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　　　　　　　　　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单位负责人：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赫思远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审核人：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柴小刚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 xml:space="preserve">       填报人：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刘青</w:t>
      </w:r>
    </w:p>
    <w:p>
      <w:pPr>
        <w:widowControl/>
        <w:spacing w:line="576" w:lineRule="exact"/>
        <w:jc w:val="left"/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029-87065753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 xml:space="preserve">            填报日期：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2019年2月1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日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 xml:space="preserve"> </w:t>
      </w: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1DDF"/>
    <w:rsid w:val="25301DDF"/>
    <w:rsid w:val="2923358C"/>
    <w:rsid w:val="43B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2019-01-22T02:46:00Z</dcterms:created>
  <dc:creator>縴起★佐手</dc:creator>
  <cp:lastModifiedBy>Miss 温特</cp:lastModifiedBy>
  <cp:lastPrinted>2019-02-14T03:34:57Z</cp:lastPrinted>
  <dcterms:modified xsi:type="dcterms:W3CDTF">2019-02-14T03:39:09Z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