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jc w:val="center"/>
        <w:rPr>
          <w:rFonts w:hint="eastAsia" w:ascii="BatangChe" w:hAnsi="BatangChe" w:eastAsia="方正小标宋简体"/>
          <w:bCs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BatangChe" w:hAnsi="BatangChe" w:eastAsia="方正小标宋简体"/>
          <w:bCs/>
          <w:color w:val="000000"/>
          <w:kern w:val="0"/>
          <w:sz w:val="44"/>
          <w:szCs w:val="44"/>
        </w:rPr>
        <w:t>政府信息公开情况统计表</w:t>
      </w:r>
    </w:p>
    <w:p>
      <w:pPr>
        <w:snapToGrid w:val="0"/>
        <w:spacing w:line="300" w:lineRule="auto"/>
        <w:jc w:val="center"/>
        <w:rPr>
          <w:rFonts w:hint="eastAsia" w:ascii="BatangChe" w:hAnsi="BatangChe" w:eastAsia="仿宋_GB2312"/>
          <w:color w:val="000000"/>
          <w:kern w:val="0"/>
          <w:sz w:val="32"/>
          <w:szCs w:val="32"/>
        </w:rPr>
      </w:pPr>
      <w:r>
        <w:rPr>
          <w:rFonts w:hint="eastAsia" w:ascii="BatangChe" w:hAnsi="BatangChe" w:eastAsia="仿宋_GB2312"/>
          <w:color w:val="000000"/>
          <w:kern w:val="0"/>
          <w:sz w:val="32"/>
          <w:szCs w:val="32"/>
        </w:rPr>
        <w:t>（2018年度）</w:t>
      </w:r>
    </w:p>
    <w:p>
      <w:pPr>
        <w:snapToGrid w:val="0"/>
        <w:spacing w:line="360" w:lineRule="auto"/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>填报单位（盖章）：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  <w:t>杨凌示范区住房和城乡规划建设局</w:t>
      </w:r>
    </w:p>
    <w:tbl>
      <w:tblPr>
        <w:tblStyle w:val="3"/>
        <w:tblW w:w="8948" w:type="dxa"/>
        <w:jc w:val="center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7"/>
        <w:gridCol w:w="957"/>
        <w:gridCol w:w="8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Header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统　计　指　标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单位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统计数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一、主动公开情况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（一）主动公开政府信息数</w:t>
            </w:r>
          </w:p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（不同渠道和方式公开相同信息计1条）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683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其中：主动公开规范性文件数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制发规范性文件总数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（二）通过不同渠道和方式公开政府信息的情况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1.政府公报公开政府信息数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2.政府网站公开政府信息数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669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3.政务微博公开政府信息数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4.政务微信公开政府信息数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5.其他方式公开政府信息数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二、回应解读情况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（一）回应公众关注热点或重大舆情数</w:t>
            </w:r>
          </w:p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 （不同方式回应同一热点或舆情计1次）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（二）通过不同渠道和方式回应解读的情况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1.参加或举办新闻发布会总次数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 其中：主要负责同志参加新闻发布会次数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2.政府网站在线访谈次数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 其中：主要负责同志参加政府网站在线访谈次数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3.政策解读稿件发布数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篇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4.微博微信回应事件数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5.其他方式回应事件数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三、依申请公开情况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（一）收到申请数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1.当面申请数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2.传真申请数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3.网络申请数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4.信函申请数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（二）申请办结数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1.按时办结数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2.延期办结数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（三）申请答复数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1.属于已主动公开范围数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2.同意公开答复数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3.同意部分公开答复数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4.不同意公开答复数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 　其中：涉及国家秘密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涉及商业秘密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涉及个人隐私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pacing w:val="-4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 xml:space="preserve">　　　　　　　　　 </w:t>
            </w:r>
            <w:r>
              <w:rPr>
                <w:rFonts w:ascii="BatangChe" w:hAnsi="BatangChe" w:eastAsia="仿宋_GB2312"/>
                <w:spacing w:val="-4"/>
                <w:sz w:val="24"/>
              </w:rPr>
              <w:t>危及国家安全、公共安全、经济安全和社会稳定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不是《条例》所指政府信息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法律法规规定的其他情形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5.不属于本行政机关公开数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6.申请信息不存在数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7.告知作出更改补充数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8.告知通过其他途径办理数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四、行政复议数量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（一）维持具体行政行为数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（二）被依法纠错数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（三）其他情形数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五、行政诉讼数量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（一）维持具体行政行为或者驳回原告诉讼请求数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（二）被依法纠错数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（三）其他情形数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六、举报投诉数量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七、依申请公开信息收取的费用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八、机构建设和保障经费情况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（一）政府信息公开工作专门机构数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个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（二）设置政府信息公开查阅点数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个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（三）从事政府信息公开工作人员数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1.专职人员数（不包括政府公报及政府网站工作人员数）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2.兼职人员数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（四）政府信息公开专项经费（不包括用于政府公报编辑管理及政府网站建设维护等方面的经费）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九、政府信息公开会议和培训情况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（一）召开政府信息公开工作会议或专题会议数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（二）举办各类培训班数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（三）接受培训人员数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</w:t>
            </w:r>
          </w:p>
        </w:tc>
      </w:tr>
    </w:tbl>
    <w:p>
      <w:pPr>
        <w:widowControl/>
        <w:spacing w:line="576" w:lineRule="exact"/>
        <w:jc w:val="left"/>
        <w:rPr>
          <w:rFonts w:hint="eastAsia" w:ascii="BatangChe" w:hAnsi="BatangChe" w:eastAsia="仿宋_GB2312"/>
          <w:color w:val="000000"/>
          <w:kern w:val="0"/>
          <w:sz w:val="28"/>
          <w:szCs w:val="28"/>
        </w:rPr>
      </w:pP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>单位负责人：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  <w:t>李春安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       审核人：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  <w:t>田文志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      填报人：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  <w:t>滕龙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>联系电话：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val="en-US" w:eastAsia="zh-CN"/>
        </w:rPr>
        <w:t>029-87036906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  填报日期：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val="en-US" w:eastAsia="zh-CN"/>
        </w:rPr>
        <w:t>2018年2月15日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atangChe">
    <w:altName w:val="Times New Roman"/>
    <w:panose1 w:val="02030609000101010101"/>
    <w:charset w:val="81"/>
    <w:family w:val="modern"/>
    <w:pitch w:val="default"/>
    <w:sig w:usb0="00000000" w:usb1="00000000" w:usb2="00000030" w:usb3="00000000" w:csb0="4008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87E87"/>
    <w:rsid w:val="5088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2019-02-19T07:16:00Z</dcterms:created>
  <dc:creator>縴起★佐手</dc:creator>
  <cp:lastModifiedBy>縴起★佐手</cp:lastModifiedBy>
  <dcterms:modified xsi:type="dcterms:W3CDTF">2019-02-19T07:16:59Z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