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r>
        <w:rPr>
          <w:rFonts w:hint="eastAsia" w:ascii="BatangChe" w:hAnsi="BatangChe" w:eastAsia="黑体"/>
          <w:sz w:val="32"/>
        </w:rPr>
        <w:t>附件1</w:t>
      </w:r>
    </w:p>
    <w:p>
      <w:pPr>
        <w:autoSpaceDN w:val="0"/>
        <w:snapToGrid w:val="0"/>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2020年第四季度管委会网政府信息公开</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情况统计</w:t>
      </w:r>
      <w:bookmarkEnd w:id="0"/>
    </w:p>
    <w:p>
      <w:pPr>
        <w:snapToGrid w:val="0"/>
        <w:ind w:firstLine="140" w:firstLineChars="50"/>
        <w:jc w:val="right"/>
        <w:rPr>
          <w:rFonts w:ascii="宋体" w:hAnsi="宋体"/>
          <w:color w:val="000000"/>
          <w:sz w:val="28"/>
        </w:rPr>
      </w:pPr>
      <w:r>
        <w:rPr>
          <w:rFonts w:hint="eastAsia" w:ascii="宋体" w:hAnsi="宋体"/>
          <w:color w:val="000000"/>
          <w:sz w:val="28"/>
        </w:rPr>
        <w:t>单位：条</w:t>
      </w:r>
    </w:p>
    <w:tbl>
      <w:tblPr>
        <w:tblStyle w:val="2"/>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105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8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8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14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83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杨陵区政府</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216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194</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171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581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纪检监察工委</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管委会办公室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组织部</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532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534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广电新闻出版局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民宗局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司法局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政研室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大数据局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67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70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发改局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59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教育局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49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科技创新局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49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52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工业商务局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40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42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公安局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21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sz w:val="24"/>
              </w:rPr>
            </w:pPr>
            <w:r>
              <w:rPr>
                <w:rFonts w:hint="eastAsia" w:ascii="BatangChe" w:hAnsi="BatangChe" w:eastAsia="宋体"/>
                <w:sz w:val="24"/>
              </w:rPr>
              <w:t>51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73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财政局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42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color w:val="000000"/>
                <w:sz w:val="24"/>
              </w:rPr>
              <w:t>人社局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29</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257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287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自然资源局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89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生态环境局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53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住建局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108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197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水务局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72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81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21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文旅体育局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149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161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33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59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应急管理局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66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审计局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w:t>
            </w:r>
            <w:r>
              <w:rPr>
                <w:rFonts w:ascii="BatangChe" w:hAnsi="BatangChe" w:eastAsia="仿宋_GB2312"/>
              </w:rPr>
              <w:t>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156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223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统计局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w:t>
            </w:r>
            <w:r>
              <w:rPr>
                <w:rFonts w:ascii="BatangChe" w:hAnsi="BatangChe" w:eastAsia="仿宋_GB2312"/>
              </w:rPr>
              <w:t>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退役军人事务局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部门网站未上线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金融监管局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84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88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产业促进局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color w:val="000000"/>
                <w:sz w:val="24"/>
              </w:rPr>
            </w:pPr>
            <w:r>
              <w:rPr>
                <w:rFonts w:hint="eastAsia" w:ascii="BatangChe" w:hAnsi="BatangChe"/>
                <w:color w:val="000000"/>
                <w:sz w:val="24"/>
              </w:rPr>
              <w:t>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ascii="BatangChe" w:hAnsi="BatangChe"/>
                <w:color w:val="000000"/>
                <w:sz w:val="24"/>
              </w:rPr>
            </w:pPr>
            <w:r>
              <w:rPr>
                <w:rFonts w:hint="eastAsia" w:ascii="BatangChe" w:hAnsi="BatangChe"/>
                <w:color w:val="000000"/>
                <w:sz w:val="24"/>
              </w:rPr>
              <w:t>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自贸办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81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84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城管局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57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信访局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jc w:val="center"/>
              <w:rPr>
                <w:rFonts w:ascii="BatangChe" w:hAnsi="BatangChe" w:eastAsia="宋体"/>
                <w:color w:val="000000"/>
                <w:sz w:val="24"/>
              </w:rPr>
            </w:pPr>
            <w:r>
              <w:rPr>
                <w:rFonts w:hint="eastAsia" w:ascii="BatangChe" w:hAnsi="BatangChe" w:eastAsia="宋体"/>
                <w:color w:val="000000"/>
                <w:sz w:val="24"/>
              </w:rPr>
              <w:t>53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55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展览局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63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64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房征办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149</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236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387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eastAsia="宋体"/>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42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农业科技报社</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24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sz w:val="24"/>
              </w:rPr>
            </w:pPr>
            <w:r>
              <w:rPr>
                <w:rFonts w:hint="eastAsia" w:ascii="BatangChe" w:hAnsi="BatangChe"/>
                <w:sz w:val="24"/>
              </w:rPr>
              <w:t>杨凌融媒体中心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sz w:val="24"/>
              </w:rPr>
            </w:pPr>
            <w:r>
              <w:rPr>
                <w:rFonts w:hint="eastAsia" w:ascii="BatangChe" w:hAnsi="BatangChe"/>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sz w:val="24"/>
              </w:rPr>
            </w:pPr>
            <w:r>
              <w:rPr>
                <w:rFonts w:hint="eastAsia" w:ascii="BatangChe" w:hAnsi="BatangChe"/>
                <w:sz w:val="24"/>
              </w:rPr>
              <w:t>5</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sz w:val="24"/>
              </w:rPr>
            </w:pPr>
            <w:r>
              <w:rPr>
                <w:rFonts w:hint="eastAsia" w:ascii="BatangChe" w:hAnsi="BatangChe"/>
                <w:sz w:val="24"/>
              </w:rPr>
              <w:t>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sz w:val="24"/>
              </w:rPr>
            </w:pPr>
            <w:r>
              <w:rPr>
                <w:rFonts w:hint="eastAsia" w:ascii="BatangChe" w:hAnsi="BatangChe"/>
                <w:sz w:val="24"/>
              </w:rPr>
              <w:t>13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示范区医院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华秦农牧公司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64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64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城乡投资公司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50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sz w:val="24"/>
              </w:rPr>
            </w:pPr>
            <w:r>
              <w:rPr>
                <w:rFonts w:hint="eastAsia" w:ascii="BatangChe" w:hAnsi="BatangChe"/>
                <w:sz w:val="24"/>
              </w:rPr>
              <w:t>农科集团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sz w:val="24"/>
              </w:rPr>
            </w:pPr>
            <w:r>
              <w:rPr>
                <w:rFonts w:hint="eastAsia" w:ascii="BatangChe" w:hAnsi="BatangChe"/>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sz w:val="24"/>
              </w:rPr>
            </w:pPr>
            <w:r>
              <w:rPr>
                <w:rFonts w:hint="eastAsia" w:ascii="BatangChe" w:hAnsi="BatangChe"/>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sz w:val="24"/>
              </w:rPr>
            </w:pPr>
            <w:r>
              <w:rPr>
                <w:rFonts w:hint="eastAsia" w:ascii="BatangChe" w:hAnsi="BatangChe"/>
                <w:sz w:val="24"/>
              </w:rPr>
              <w:t>180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180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工业园区公司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75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75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49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创新创业公司</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178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178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rPr>
            </w:pPr>
            <w:r>
              <w:rPr>
                <w:rFonts w:hint="eastAsia"/>
              </w:rPr>
              <w:t>50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农村商业银行</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总计</w:t>
            </w:r>
          </w:p>
        </w:tc>
        <w:tc>
          <w:tcPr>
            <w:tcW w:w="105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679</w:t>
            </w:r>
          </w:p>
        </w:tc>
        <w:tc>
          <w:tcPr>
            <w:tcW w:w="86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403</w:t>
            </w:r>
          </w:p>
        </w:tc>
        <w:tc>
          <w:tcPr>
            <w:tcW w:w="1059"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3269</w:t>
            </w:r>
          </w:p>
        </w:tc>
        <w:tc>
          <w:tcPr>
            <w:tcW w:w="8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4351</w:t>
            </w:r>
          </w:p>
        </w:tc>
        <w:tc>
          <w:tcPr>
            <w:tcW w:w="2140"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ascii="BatangChe" w:hAnsi="BatangChe" w:eastAsia="宋体"/>
                <w:sz w:val="24"/>
              </w:rPr>
            </w:pPr>
          </w:p>
        </w:tc>
      </w:tr>
    </w:tbl>
    <w:p>
      <w:pPr>
        <w:snapToGrid w:val="0"/>
        <w:rPr>
          <w:color w:val="000000"/>
        </w:rPr>
      </w:pPr>
    </w:p>
    <w:p>
      <w:r>
        <w:rPr>
          <w:rFonts w:hint="eastAsia"/>
        </w:rPr>
        <w:t>注：1.目录规定：指信息公开目录规定部门必须依托管委会网向社会公开的政府信息。</w:t>
      </w:r>
    </w:p>
    <w:p>
      <w:pPr>
        <w:ind w:firstLine="420" w:firstLineChars="200"/>
      </w:pPr>
      <w:r>
        <w:rPr>
          <w:rFonts w:hint="eastAsia"/>
        </w:rPr>
        <w:t>2.政民互动：指管委会网站互动交流频道以及各部门子站公众留言栏目受理办理信息。</w:t>
      </w:r>
    </w:p>
    <w:p>
      <w:pPr>
        <w:ind w:firstLine="420" w:firstLineChars="200"/>
      </w:pPr>
      <w:r>
        <w:rPr>
          <w:rFonts w:hint="eastAsia"/>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rPr>
          <w:rFonts w:ascii="BatangChe" w:hAnsi="BatangChe" w:eastAsia="黑体"/>
          <w:sz w:val="32"/>
        </w:rPr>
        <w:sectPr>
          <w:pgSz w:w="11906" w:h="16838"/>
          <w:pgMar w:top="1440" w:right="1800" w:bottom="1440" w:left="1800" w:header="851" w:footer="992" w:gutter="0"/>
          <w:cols w:space="425" w:num="1"/>
          <w:docGrid w:type="lines" w:linePitch="312" w:charSpace="0"/>
        </w:sectPr>
      </w:pPr>
      <w:r>
        <w:rPr>
          <w:rFonts w:hint="eastAsia"/>
        </w:rPr>
        <w:t>4.列内注“/”的为不承担公开任务，“空”为部门网站无法访问。在目录规定栏目注“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704DC"/>
    <w:rsid w:val="274867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鱼鱼</cp:lastModifiedBy>
  <dcterms:modified xsi:type="dcterms:W3CDTF">2021-01-22T03:06:55Z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