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ascii="BatangChe" w:hAnsi="BatangChe"/>
        </w:rPr>
      </w:pPr>
      <w:r>
        <w:rPr>
          <w:rFonts w:hint="eastAsia" w:ascii="BatangChe" w:hAnsi="BatangChe" w:eastAsia="黑体"/>
          <w:sz w:val="32"/>
        </w:rPr>
        <w:t>附件3</w:t>
      </w:r>
    </w:p>
    <w:p>
      <w:pPr>
        <w:autoSpaceDN w:val="0"/>
        <w:snapToGrid w:val="0"/>
        <w:jc w:val="center"/>
        <w:rPr>
          <w:rFonts w:ascii="方正小标宋_GBK" w:hAnsi="BatangChe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BatangChe" w:eastAsia="方正小标宋_GBK"/>
          <w:color w:val="000000"/>
          <w:sz w:val="44"/>
          <w:szCs w:val="44"/>
        </w:rPr>
        <w:t>2020年第二季度区内媒体信息公开情况</w:t>
      </w:r>
    </w:p>
    <w:bookmarkEnd w:id="0"/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hint="eastAsia" w:ascii="BatangChe" w:hAnsi="BatangChe"/>
          <w:color w:val="000000"/>
          <w:sz w:val="24"/>
        </w:rPr>
        <w:t xml:space="preserve"> </w:t>
      </w:r>
      <w:r>
        <w:rPr>
          <w:rFonts w:ascii="BatangChe" w:hAnsi="BatangChe"/>
          <w:color w:val="000000"/>
          <w:sz w:val="24"/>
        </w:rPr>
        <w:t xml:space="preserve">                  </w:t>
      </w:r>
      <w:r>
        <w:rPr>
          <w:rFonts w:hint="eastAsia" w:ascii="BatangChe" w:hAnsi="BatangChe"/>
          <w:color w:val="000000"/>
          <w:sz w:val="24"/>
        </w:rPr>
        <w:t xml:space="preserve">                      </w:t>
      </w: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879"/>
        <w:gridCol w:w="1365"/>
        <w:gridCol w:w="885"/>
        <w:gridCol w:w="1342"/>
        <w:gridCol w:w="974"/>
        <w:gridCol w:w="14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序号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单位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新闻资讯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公告</w:t>
            </w:r>
          </w:p>
        </w:tc>
        <w:tc>
          <w:tcPr>
            <w:tcW w:w="1342" w:type="dxa"/>
            <w:vAlign w:val="center"/>
          </w:tcPr>
          <w:p>
            <w:pPr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专题栏目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其他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累计公开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杨凌电视台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300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6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10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0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316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杨凌时讯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532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23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30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90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675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832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28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40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90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990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21A66"/>
    <w:rsid w:val="1F1B3F14"/>
    <w:rsid w:val="4CCE3091"/>
    <w:rsid w:val="6C821A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2020-07-10T01:50:00Z</dcterms:created>
  <dc:creator>鱼鱼</dc:creator>
  <cp:lastModifiedBy>鱼鱼</cp:lastModifiedBy>
  <dcterms:modified xsi:type="dcterms:W3CDTF">2020-07-10T07:45:37Z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