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320" w:firstLineChars="100"/>
        <w:rPr>
          <w:rFonts w:hint="eastAsia" w:ascii="BatangChe" w:hAnsi="BatangChe" w:eastAsia="黑体"/>
          <w:sz w:val="32"/>
          <w:szCs w:val="32"/>
        </w:rPr>
      </w:pPr>
      <w:r>
        <w:rPr>
          <w:rFonts w:hint="eastAsia" w:ascii="黑体" w:hAnsi="BatangChe" w:eastAsia="黑体"/>
          <w:sz w:val="32"/>
          <w:szCs w:val="32"/>
        </w:rPr>
        <w:t>附件</w:t>
      </w:r>
      <w:r>
        <w:rPr>
          <w:rFonts w:hint="eastAsia" w:ascii="BatangChe" w:hAnsi="BatangChe" w:eastAsia="黑体"/>
          <w:sz w:val="32"/>
          <w:szCs w:val="32"/>
        </w:rPr>
        <w:t>1</w:t>
      </w:r>
    </w:p>
    <w:p>
      <w:pPr>
        <w:adjustRightInd w:val="0"/>
        <w:snapToGrid w:val="0"/>
        <w:jc w:val="center"/>
        <w:rPr>
          <w:rFonts w:hint="eastAsia" w:ascii="BatangChe" w:hAnsi="BatangChe" w:eastAsia="方正小标宋简体"/>
          <w:color w:val="000000"/>
          <w:sz w:val="42"/>
          <w:szCs w:val="42"/>
        </w:rPr>
      </w:pPr>
      <w:r>
        <w:rPr>
          <w:rFonts w:hint="eastAsia" w:ascii="BatangChe" w:hAnsi="BatangChe" w:eastAsia="方正小标宋简体"/>
          <w:color w:val="000000"/>
          <w:sz w:val="42"/>
          <w:szCs w:val="42"/>
        </w:rPr>
        <w:t>2018</w:t>
      </w:r>
      <w:r>
        <w:rPr>
          <w:rFonts w:hint="eastAsia" w:ascii="方正小标宋简体" w:hAnsi="BatangChe" w:eastAsia="方正小标宋简体"/>
          <w:color w:val="000000"/>
          <w:sz w:val="42"/>
          <w:szCs w:val="42"/>
        </w:rPr>
        <w:t>年第四季度管委会网政府信息公开情况统计</w:t>
      </w:r>
    </w:p>
    <w:p>
      <w:pPr>
        <w:adjustRightInd w:val="0"/>
        <w:snapToGrid w:val="0"/>
        <w:ind w:firstLine="140" w:firstLineChars="50"/>
        <w:jc w:val="right"/>
        <w:rPr>
          <w:rFonts w:hint="eastAsia" w:ascii="宋体" w:hAnsi="宋体"/>
          <w:color w:val="000000"/>
          <w:sz w:val="28"/>
          <w:szCs w:val="28"/>
        </w:rPr>
      </w:pPr>
      <w:r>
        <w:rPr>
          <w:rFonts w:hint="eastAsia" w:ascii="BatangChe" w:hAnsi="BatangChe" w:eastAsia="BatangChe"/>
          <w:color w:val="000000"/>
          <w:sz w:val="28"/>
          <w:szCs w:val="28"/>
        </w:rPr>
        <w:t xml:space="preserve">    </w:t>
      </w:r>
      <w:r>
        <w:rPr>
          <w:rFonts w:hint="eastAsia" w:ascii="BatangChe" w:hAnsi="BatangChe"/>
          <w:color w:val="000000"/>
          <w:sz w:val="28"/>
          <w:szCs w:val="28"/>
        </w:rPr>
        <w:t xml:space="preserve">    </w:t>
      </w:r>
      <w:r>
        <w:rPr>
          <w:rFonts w:hint="eastAsia" w:ascii="BatangChe" w:hAnsi="BatangChe" w:eastAsia="BatangChe"/>
          <w:color w:val="000000"/>
          <w:sz w:val="28"/>
          <w:szCs w:val="28"/>
        </w:rPr>
        <w:t xml:space="preserve">         </w:t>
      </w:r>
      <w:r>
        <w:rPr>
          <w:rFonts w:hint="eastAsia" w:ascii="BatangChe" w:hAnsi="BatangChe"/>
          <w:color w:val="000000"/>
          <w:sz w:val="28"/>
          <w:szCs w:val="28"/>
        </w:rPr>
        <w:t xml:space="preserve">                               </w:t>
      </w:r>
      <w:r>
        <w:rPr>
          <w:rFonts w:hint="eastAsia" w:ascii="宋体" w:hAnsi="宋体"/>
          <w:color w:val="000000"/>
          <w:sz w:val="28"/>
          <w:szCs w:val="28"/>
        </w:rPr>
        <w:t>单位：条</w:t>
      </w:r>
    </w:p>
    <w:tbl>
      <w:tblPr>
        <w:tblStyle w:val="3"/>
        <w:tblW w:w="89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952"/>
        <w:gridCol w:w="966"/>
        <w:gridCol w:w="853"/>
        <w:gridCol w:w="989"/>
        <w:gridCol w:w="22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657" w:hRule="atLeast"/>
          <w:jc w:val="center"/>
        </w:trPr>
        <w:tc>
          <w:tcPr>
            <w:tcW w:w="918"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9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966"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853"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989" w:type="dxa"/>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203" w:type="dxa"/>
            <w:tcBorders>
              <w:top w:val="single" w:color="auto" w:sz="12"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527"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杨陵区政府</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137</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263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155</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555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BatangChe" w:cs="宋体"/>
                <w:szCs w:val="21"/>
              </w:rPr>
            </w:pPr>
            <w:r>
              <w:rPr>
                <w:rFonts w:hint="eastAsia" w:ascii="BatangChe"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管委会办公室</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189</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39</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228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监察局（审计局）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人社局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9</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14</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203</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226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文广新局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6</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19</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政法委</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7</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63</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70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党群部</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138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140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发改局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18</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8</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98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124</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教育局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39</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148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210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科技局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70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71</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经贸和安监局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38</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4</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194</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236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公安局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179</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200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财政局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50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63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国土局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5</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91</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99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15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环保局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52</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16</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103</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171</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住建局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15</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126</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95</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236</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水务局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4</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50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55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1</w:t>
            </w:r>
            <w:r>
              <w:rPr>
                <w:rFonts w:hint="eastAsia" w:ascii="BatangChe" w:hAnsi="BatangChe"/>
                <w:sz w:val="24"/>
              </w:rPr>
              <w:t>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农业局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11</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19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社会事业局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14</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9</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64</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87</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国际合作局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224</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224</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食药监局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40</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4</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b/>
                <w:bCs/>
                <w:sz w:val="24"/>
              </w:rPr>
            </w:pPr>
            <w:r>
              <w:rPr>
                <w:rFonts w:hint="eastAsia" w:ascii="BatangChe" w:hAnsi="BatangChe" w:eastAsia="仿宋_GB2312"/>
                <w:sz w:val="24"/>
              </w:rPr>
              <w:t>118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162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城管局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43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126</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169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党  校</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金融办</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158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158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国资委</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7</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7</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eastAsia="BatangChe"/>
                <w:sz w:val="24"/>
              </w:rPr>
              <w:t>2</w:t>
            </w:r>
            <w:r>
              <w:rPr>
                <w:rFonts w:hint="eastAsia" w:ascii="BatangChe" w:hAnsi="BatangChe"/>
                <w:sz w:val="24"/>
              </w:rPr>
              <w:t>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招商局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154</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155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展览局</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103</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103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房征办</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13</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7</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29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公共资源交易中心</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121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126</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249</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科技信息中心</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41</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21</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65</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31</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机关事务中心</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22</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32</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农业科技报社</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18</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33</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宋体"/>
                <w:sz w:val="24"/>
              </w:rPr>
            </w:pPr>
            <w:r>
              <w:rPr>
                <w:rFonts w:hint="eastAsia" w:ascii="BatangChe" w:hAnsi="BatangChe"/>
                <w:sz w:val="24"/>
              </w:rPr>
              <w:t>杨凌电视台</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19</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9</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34</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示范区医院</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6</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56</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62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35</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华秦农牧公司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23</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23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36</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城乡投资公司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13</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105</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118</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37</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农业园区公司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13</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13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38</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工业园区公司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90</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90</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39</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创新创业公司</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2</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b/>
                <w:bCs/>
                <w:sz w:val="24"/>
              </w:rPr>
            </w:pPr>
            <w:r>
              <w:rPr>
                <w:rFonts w:hint="eastAsia" w:ascii="BatangChe" w:hAnsi="BatangChe" w:eastAsia="仿宋_GB2312"/>
                <w:sz w:val="24"/>
              </w:rPr>
              <w:t>41</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43</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80" w:hRule="atLeast"/>
          <w:jc w:val="center"/>
        </w:trPr>
        <w:tc>
          <w:tcPr>
            <w:tcW w:w="91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40</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农村商业银行</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0</w:t>
            </w:r>
          </w:p>
        </w:tc>
        <w:tc>
          <w:tcPr>
            <w:tcW w:w="8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BatangChe" w:hAnsi="BatangChe" w:eastAsia="仿宋_GB2312"/>
                <w:sz w:val="24"/>
              </w:rPr>
            </w:pPr>
            <w:r>
              <w:rPr>
                <w:rFonts w:hint="eastAsia" w:ascii="BatangChe" w:hAnsi="BatangChe" w:eastAsia="仿宋_GB2312"/>
                <w:sz w:val="24"/>
              </w:rPr>
              <w:t>52</w:t>
            </w:r>
          </w:p>
        </w:tc>
        <w:tc>
          <w:tcPr>
            <w:tcW w:w="98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r>
              <w:rPr>
                <w:rFonts w:hint="eastAsia" w:ascii="BatangChe" w:hAnsi="BatangChe" w:eastAsia="仿宋_GB2312"/>
                <w:sz w:val="24"/>
              </w:rPr>
              <w:t>52</w:t>
            </w:r>
          </w:p>
        </w:tc>
        <w:tc>
          <w:tcPr>
            <w:tcW w:w="2203"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hint="eastAsia"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Ex>
        <w:trPr>
          <w:trHeight w:val="408" w:hRule="atLeast"/>
          <w:jc w:val="center"/>
        </w:trPr>
        <w:tc>
          <w:tcPr>
            <w:tcW w:w="918"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ascii="BatangChe" w:hAnsi="BatangChe" w:eastAsia="BatangChe"/>
                <w:sz w:val="24"/>
              </w:rPr>
            </w:pPr>
          </w:p>
        </w:tc>
        <w:tc>
          <w:tcPr>
            <w:tcW w:w="2091"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总计</w:t>
            </w:r>
          </w:p>
        </w:tc>
        <w:tc>
          <w:tcPr>
            <w:tcW w:w="952"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eastAsia" w:ascii="BatangChe" w:hAnsi="BatangChe"/>
                <w:sz w:val="24"/>
              </w:rPr>
            </w:pPr>
            <w:r>
              <w:rPr>
                <w:rFonts w:hint="eastAsia" w:ascii="BatangChe" w:hAnsi="BatangChe"/>
                <w:sz w:val="24"/>
              </w:rPr>
              <w:t>750</w:t>
            </w:r>
          </w:p>
        </w:tc>
        <w:tc>
          <w:tcPr>
            <w:tcW w:w="966"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eastAsia" w:ascii="BatangChe" w:hAnsi="BatangChe"/>
                <w:sz w:val="24"/>
              </w:rPr>
            </w:pPr>
            <w:r>
              <w:rPr>
                <w:rFonts w:hint="eastAsia" w:ascii="BatangChe" w:hAnsi="BatangChe"/>
                <w:sz w:val="24"/>
              </w:rPr>
              <w:t>646</w:t>
            </w:r>
          </w:p>
        </w:tc>
        <w:tc>
          <w:tcPr>
            <w:tcW w:w="853"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hint="eastAsia" w:ascii="BatangChe" w:hAnsi="BatangChe"/>
                <w:sz w:val="24"/>
              </w:rPr>
            </w:pPr>
            <w:r>
              <w:rPr>
                <w:rFonts w:hint="eastAsia" w:ascii="BatangChe" w:hAnsi="BatangChe"/>
                <w:sz w:val="24"/>
              </w:rPr>
              <w:t>3234</w:t>
            </w:r>
          </w:p>
        </w:tc>
        <w:tc>
          <w:tcPr>
            <w:tcW w:w="989" w:type="dxa"/>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pPr>
              <w:snapToGrid w:val="0"/>
              <w:jc w:val="center"/>
              <w:rPr>
                <w:rFonts w:hint="eastAsia" w:ascii="BatangChe" w:hAnsi="BatangChe"/>
                <w:sz w:val="24"/>
              </w:rPr>
            </w:pPr>
            <w:r>
              <w:rPr>
                <w:rFonts w:hint="eastAsia" w:ascii="BatangChe" w:hAnsi="BatangChe"/>
                <w:sz w:val="24"/>
              </w:rPr>
              <w:t>4630</w:t>
            </w:r>
          </w:p>
        </w:tc>
        <w:tc>
          <w:tcPr>
            <w:tcW w:w="2203" w:type="dxa"/>
            <w:tcBorders>
              <w:top w:val="single" w:color="auto" w:sz="4" w:space="0"/>
              <w:left w:val="single" w:color="auto" w:sz="4" w:space="0"/>
              <w:bottom w:val="single" w:color="auto" w:sz="12"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BatangChe"/>
                <w:sz w:val="24"/>
              </w:rPr>
            </w:pPr>
          </w:p>
        </w:tc>
      </w:tr>
    </w:tbl>
    <w:p>
      <w:pPr>
        <w:snapToGrid w:val="0"/>
        <w:rPr>
          <w:rFonts w:hint="eastAsia" w:ascii="BatangChe" w:hAnsi="BatangChe"/>
          <w:szCs w:val="21"/>
        </w:rPr>
      </w:pPr>
      <w:r>
        <w:rPr>
          <w:rFonts w:hint="eastAsia" w:ascii="宋体" w:hAnsi="宋体"/>
          <w:color w:val="000000"/>
        </w:rPr>
        <w:t>注：</w:t>
      </w:r>
      <w:r>
        <w:rPr>
          <w:rFonts w:hint="eastAsia" w:ascii="BatangChe" w:hAnsi="BatangChe"/>
        </w:rPr>
        <w:t>1.</w:t>
      </w:r>
      <w:r>
        <w:rPr>
          <w:rFonts w:hint="eastAsia" w:ascii="宋体" w:hAnsi="宋体"/>
        </w:rPr>
        <w:t>目录规定：指信息公开目录规定部门必须依托管委会网向社会公开的政府信息。</w:t>
      </w:r>
    </w:p>
    <w:p>
      <w:pPr>
        <w:snapToGrid w:val="0"/>
        <w:ind w:firstLine="420" w:firstLineChars="200"/>
        <w:rPr>
          <w:rFonts w:hint="eastAsia" w:ascii="BatangChe" w:hAnsi="BatangChe"/>
        </w:rPr>
      </w:pPr>
      <w:r>
        <w:rPr>
          <w:rFonts w:hint="eastAsia" w:ascii="BatangChe" w:hAnsi="BatangChe"/>
        </w:rPr>
        <w:t>2.</w:t>
      </w:r>
      <w:r>
        <w:rPr>
          <w:rFonts w:hint="eastAsia" w:ascii="宋体" w:hAnsi="宋体"/>
        </w:rPr>
        <w:t>政民互动：指管委会网站互动交流频道以及各部门子站公众留言栏目受理办理信息。</w:t>
      </w:r>
    </w:p>
    <w:p>
      <w:pPr>
        <w:snapToGrid w:val="0"/>
        <w:ind w:left="630" w:leftChars="200" w:hanging="210" w:hangingChars="100"/>
        <w:rPr>
          <w:rFonts w:hint="eastAsia" w:ascii="BatangChe" w:hAnsi="BatangChe"/>
        </w:rPr>
      </w:pPr>
      <w:r>
        <w:rPr>
          <w:rFonts w:hint="eastAsia" w:ascii="BatangChe" w:hAnsi="BatangChe"/>
        </w:rPr>
        <w:t>3.</w:t>
      </w:r>
      <w:r>
        <w:rPr>
          <w:rFonts w:hint="eastAsia" w:ascii="宋体" w:hAnsi="宋体"/>
        </w:rPr>
        <w:t>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left="630" w:leftChars="200" w:hanging="210" w:hangingChars="100"/>
      </w:pPr>
      <w:r>
        <w:rPr>
          <w:rFonts w:hint="eastAsia" w:ascii="BatangChe" w:hAnsi="BatangChe"/>
        </w:rPr>
        <w:t>4.</w:t>
      </w:r>
      <w:r>
        <w:rPr>
          <w:rFonts w:hint="eastAsia" w:ascii="宋体" w:hAnsi="宋体"/>
        </w:rPr>
        <w:t>列内注“</w:t>
      </w:r>
      <w:r>
        <w:rPr>
          <w:rFonts w:hint="eastAsia" w:ascii="BatangChe" w:hAnsi="BatangChe" w:eastAsia="BatangChe"/>
        </w:rPr>
        <w:t>/</w:t>
      </w:r>
      <w:r>
        <w:rPr>
          <w:rFonts w:hint="eastAsia" w:ascii="宋体" w:hAnsi="宋体"/>
        </w:rPr>
        <w:t>”的为不承担公开任务，“空”为部门网站无法访问。在目录规定栏目注“</w:t>
      </w:r>
      <w:r>
        <w:rPr>
          <w:rFonts w:hint="eastAsia" w:ascii="BatangChe" w:hAnsi="BatangChe" w:eastAsia="BatangChe"/>
        </w:rPr>
        <w:t>0</w:t>
      </w:r>
      <w:r>
        <w:rPr>
          <w:rFonts w:hint="eastAsia" w:ascii="宋体" w:hAnsi="宋体"/>
        </w:rPr>
        <w:t>”的为承担公开任务未公开；在政民互动栏目注“</w:t>
      </w:r>
      <w:r>
        <w:rPr>
          <w:rFonts w:hint="eastAsia" w:ascii="BatangChe" w:hAnsi="BatangChe" w:eastAsia="BatangChe"/>
        </w:rPr>
        <w:t>0</w:t>
      </w:r>
      <w:r>
        <w:rPr>
          <w:rFonts w:hint="eastAsia" w:ascii="宋体" w:hAnsi="宋体"/>
        </w:rPr>
        <w:t>”的为该部门未接到群众留言。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202C2"/>
    <w:rsid w:val="286202C2"/>
    <w:rsid w:val="75C62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2019-01-08T00:52:00Z</dcterms:created>
  <dc:creator>徐红</dc:creator>
  <cp:lastModifiedBy>徐红</cp:lastModifiedBy>
  <dcterms:modified xsi:type="dcterms:W3CDTF">2019-01-08T00:54:04Z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