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pacing w:before="0" w:beforeAutospacing="0" w:after="0" w:afterAutospacing="0" w:line="300" w:lineRule="atLeast"/>
        <w:ind w:left="0" w:right="0"/>
        <w:jc w:val="center"/>
      </w:pPr>
      <w:bookmarkStart w:id="0" w:name="_GoBack"/>
      <w:bookmarkEnd w:id="0"/>
      <w:r>
        <w:rPr>
          <w:rFonts w:hint="eastAsia" w:ascii="BatangChe" w:hAnsi="BatangChe" w:eastAsia="BatangChe" w:cs="BatangChe"/>
          <w:color w:val="000000"/>
          <w:spacing w:val="15"/>
          <w:kern w:val="0"/>
          <w:sz w:val="44"/>
          <w:szCs w:val="44"/>
          <w:lang w:val="en-US" w:eastAsia="zh-CN" w:bidi="ar"/>
        </w:rPr>
        <w:t>2012</w:t>
      </w:r>
      <w:r>
        <w:rPr>
          <w:rFonts w:hint="eastAsia" w:ascii="方正小标宋简体" w:hAnsi="方正小标宋简体" w:eastAsia="方正小标宋简体" w:cs="方正小标宋简体"/>
          <w:color w:val="000000"/>
          <w:spacing w:val="15"/>
          <w:kern w:val="0"/>
          <w:sz w:val="44"/>
          <w:szCs w:val="44"/>
          <w:lang w:val="en-US" w:eastAsia="zh-CN" w:bidi="ar"/>
        </w:rPr>
        <w:t>年第三季度</w:t>
      </w:r>
    </w:p>
    <w:p>
      <w:pPr>
        <w:keepNext w:val="0"/>
        <w:keepLines w:val="0"/>
        <w:widowControl/>
        <w:suppressLineNumbers w:val="0"/>
        <w:spacing w:before="0" w:beforeAutospacing="0" w:after="0" w:afterAutospacing="0" w:line="300" w:lineRule="atLeast"/>
        <w:ind w:left="0" w:right="0"/>
        <w:jc w:val="center"/>
      </w:pPr>
      <w:r>
        <w:rPr>
          <w:rFonts w:hint="eastAsia" w:ascii="方正小标宋简体" w:hAnsi="方正小标宋简体" w:eastAsia="方正小标宋简体" w:cs="方正小标宋简体"/>
          <w:color w:val="000000"/>
          <w:spacing w:val="15"/>
          <w:kern w:val="0"/>
          <w:sz w:val="44"/>
          <w:szCs w:val="44"/>
          <w:lang w:val="en-US" w:eastAsia="zh-CN" w:bidi="ar"/>
        </w:rPr>
        <w:t>示范区公众信息网政府信息公开情况</w:t>
      </w:r>
    </w:p>
    <w:p>
      <w:pPr>
        <w:keepNext w:val="0"/>
        <w:keepLines w:val="0"/>
        <w:widowControl/>
        <w:suppressLineNumbers w:val="0"/>
        <w:spacing w:before="0" w:beforeAutospacing="0" w:after="0" w:afterAutospacing="0" w:line="300" w:lineRule="atLeast"/>
        <w:ind w:left="0" w:right="0"/>
        <w:jc w:val="both"/>
      </w:pPr>
      <w:r>
        <w:rPr>
          <w:rFonts w:hint="default" w:ascii="楷体_GB2312" w:hAnsi="Times New Roman" w:eastAsia="楷体_GB2312" w:cs="楷体_GB2312"/>
          <w:color w:val="000000"/>
          <w:spacing w:val="15"/>
          <w:kern w:val="0"/>
          <w:sz w:val="24"/>
          <w:szCs w:val="24"/>
          <w:lang w:val="en-US" w:eastAsia="zh-CN" w:bidi="ar"/>
        </w:rPr>
        <w:t>截至时间：</w:t>
      </w:r>
      <w:r>
        <w:rPr>
          <w:rFonts w:hint="eastAsia" w:ascii="BatangChe" w:hAnsi="BatangChe" w:eastAsia="BatangChe" w:cs="BatangChe"/>
          <w:color w:val="000000"/>
          <w:spacing w:val="15"/>
          <w:kern w:val="0"/>
          <w:sz w:val="24"/>
          <w:szCs w:val="24"/>
          <w:lang w:val="en-US" w:eastAsia="zh-CN" w:bidi="ar"/>
        </w:rPr>
        <w:t>2012</w:t>
      </w:r>
      <w:r>
        <w:rPr>
          <w:rFonts w:hint="default" w:ascii="楷体_GB2312" w:hAnsi="Times New Roman" w:eastAsia="楷体_GB2312" w:cs="楷体_GB2312"/>
          <w:color w:val="000000"/>
          <w:spacing w:val="15"/>
          <w:kern w:val="0"/>
          <w:sz w:val="24"/>
          <w:szCs w:val="24"/>
          <w:lang w:val="en-US" w:eastAsia="zh-CN" w:bidi="ar"/>
        </w:rPr>
        <w:t>年</w:t>
      </w:r>
      <w:r>
        <w:rPr>
          <w:rFonts w:hint="eastAsia" w:ascii="BatangChe" w:hAnsi="BatangChe" w:eastAsia="BatangChe" w:cs="BatangChe"/>
          <w:color w:val="000000"/>
          <w:spacing w:val="15"/>
          <w:kern w:val="0"/>
          <w:sz w:val="24"/>
          <w:szCs w:val="24"/>
          <w:lang w:val="en-US" w:eastAsia="zh-CN" w:bidi="ar"/>
        </w:rPr>
        <w:t>9</w:t>
      </w:r>
      <w:r>
        <w:rPr>
          <w:rFonts w:hint="default" w:ascii="楷体_GB2312" w:hAnsi="Times New Roman" w:eastAsia="楷体_GB2312" w:cs="楷体_GB2312"/>
          <w:color w:val="000000"/>
          <w:spacing w:val="15"/>
          <w:kern w:val="0"/>
          <w:sz w:val="24"/>
          <w:szCs w:val="24"/>
          <w:lang w:val="en-US" w:eastAsia="zh-CN" w:bidi="ar"/>
        </w:rPr>
        <w:t>月</w:t>
      </w:r>
      <w:r>
        <w:rPr>
          <w:rFonts w:hint="eastAsia" w:ascii="BatangChe" w:hAnsi="BatangChe" w:eastAsia="BatangChe" w:cs="BatangChe"/>
          <w:color w:val="000000"/>
          <w:spacing w:val="15"/>
          <w:kern w:val="0"/>
          <w:sz w:val="24"/>
          <w:szCs w:val="24"/>
          <w:lang w:val="en-US" w:eastAsia="zh-CN" w:bidi="ar"/>
        </w:rPr>
        <w:t>30</w:t>
      </w:r>
      <w:r>
        <w:rPr>
          <w:rFonts w:hint="default" w:ascii="楷体_GB2312" w:hAnsi="Times New Roman" w:eastAsia="楷体_GB2312" w:cs="楷体_GB2312"/>
          <w:color w:val="000000"/>
          <w:spacing w:val="15"/>
          <w:kern w:val="0"/>
          <w:sz w:val="24"/>
          <w:szCs w:val="24"/>
          <w:lang w:val="en-US" w:eastAsia="zh-CN" w:bidi="ar"/>
        </w:rPr>
        <w:t>日</w:t>
      </w:r>
      <w:r>
        <w:rPr>
          <w:rFonts w:hint="eastAsia" w:ascii="BatangChe" w:hAnsi="BatangChe" w:eastAsia="BatangChe" w:cs="BatangChe"/>
          <w:color w:val="000000"/>
          <w:spacing w:val="15"/>
          <w:kern w:val="0"/>
          <w:sz w:val="24"/>
          <w:szCs w:val="24"/>
          <w:lang w:val="en-US" w:eastAsia="zh-CN" w:bidi="ar"/>
        </w:rPr>
        <w:t xml:space="preserve">                          </w:t>
      </w:r>
      <w:r>
        <w:rPr>
          <w:rFonts w:hint="default" w:ascii="楷体_GB2312" w:hAnsi="Times New Roman" w:eastAsia="楷体_GB2312" w:cs="楷体_GB2312"/>
          <w:color w:val="000000"/>
          <w:spacing w:val="15"/>
          <w:kern w:val="0"/>
          <w:sz w:val="24"/>
          <w:szCs w:val="24"/>
          <w:lang w:val="en-US" w:eastAsia="zh-CN" w:bidi="ar"/>
        </w:rPr>
        <w:t>单位：条</w:t>
      </w:r>
    </w:p>
    <w:tbl>
      <w:tblPr>
        <w:tblStyle w:val="5"/>
        <w:tblW w:w="8932" w:type="dxa"/>
        <w:jc w:val="center"/>
        <w:tblInd w:w="-22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2"/>
        <w:gridCol w:w="2141"/>
        <w:gridCol w:w="783"/>
        <w:gridCol w:w="784"/>
        <w:gridCol w:w="784"/>
        <w:gridCol w:w="784"/>
        <w:gridCol w:w="784"/>
        <w:gridCol w:w="22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2" w:hRule="atLeast"/>
          <w:tblHeader/>
          <w:jc w:val="center"/>
        </w:trPr>
        <w:tc>
          <w:tcPr>
            <w:tcW w:w="632" w:type="dxa"/>
            <w:tcBorders>
              <w:top w:val="single" w:color="auto" w:sz="8" w:space="0"/>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序号</w:t>
            </w:r>
          </w:p>
        </w:tc>
        <w:tc>
          <w:tcPr>
            <w:tcW w:w="2141" w:type="dxa"/>
            <w:tcBorders>
              <w:top w:val="single" w:color="auto" w:sz="8" w:space="0"/>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单位</w:t>
            </w:r>
          </w:p>
        </w:tc>
        <w:tc>
          <w:tcPr>
            <w:tcW w:w="783" w:type="dxa"/>
            <w:tcBorders>
              <w:top w:val="single" w:color="auto" w:sz="8" w:space="0"/>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目录</w:t>
            </w:r>
          </w:p>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规定</w:t>
            </w:r>
          </w:p>
        </w:tc>
        <w:tc>
          <w:tcPr>
            <w:tcW w:w="784" w:type="dxa"/>
            <w:tcBorders>
              <w:top w:val="single" w:color="auto" w:sz="8" w:space="0"/>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部门</w:t>
            </w:r>
          </w:p>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公开</w:t>
            </w:r>
          </w:p>
        </w:tc>
        <w:tc>
          <w:tcPr>
            <w:tcW w:w="784" w:type="dxa"/>
            <w:tcBorders>
              <w:top w:val="single" w:color="auto" w:sz="8" w:space="0"/>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政民</w:t>
            </w:r>
          </w:p>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互动</w:t>
            </w:r>
          </w:p>
        </w:tc>
        <w:tc>
          <w:tcPr>
            <w:tcW w:w="784" w:type="dxa"/>
            <w:tcBorders>
              <w:top w:val="single" w:color="auto" w:sz="8" w:space="0"/>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部门</w:t>
            </w:r>
          </w:p>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动态</w:t>
            </w:r>
          </w:p>
        </w:tc>
        <w:tc>
          <w:tcPr>
            <w:tcW w:w="784" w:type="dxa"/>
            <w:tcBorders>
              <w:top w:val="single" w:color="auto" w:sz="8" w:space="0"/>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累计</w:t>
            </w:r>
          </w:p>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公开</w:t>
            </w:r>
          </w:p>
        </w:tc>
        <w:tc>
          <w:tcPr>
            <w:tcW w:w="2240" w:type="dxa"/>
            <w:tcBorders>
              <w:top w:val="single" w:color="auto" w:sz="8" w:space="0"/>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黑体" w:hAnsi="宋体" w:eastAsia="黑体" w:cs="黑体"/>
                <w:color w:val="000000"/>
                <w:spacing w:val="15"/>
                <w:kern w:val="0"/>
                <w:sz w:val="21"/>
                <w:szCs w:val="21"/>
                <w:lang w:val="en-US" w:eastAsia="zh-CN" w:bidi="ar"/>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杨陵区政府</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234</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门户网站公开总数量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管委会办公室</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162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236</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含档案馆公开数量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人事局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8</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12</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政民互动</w:t>
            </w:r>
            <w:r>
              <w:rPr>
                <w:rFonts w:hint="eastAsia" w:ascii="BatangChe" w:hAnsi="BatangChe" w:eastAsia="BatangChe" w:cs="BatangChe"/>
                <w:color w:val="000000"/>
                <w:spacing w:val="15"/>
                <w:kern w:val="0"/>
                <w:sz w:val="21"/>
                <w:szCs w:val="21"/>
                <w:lang w:val="en-US" w:eastAsia="zh-CN" w:bidi="ar"/>
              </w:rPr>
              <w:t>1</w:t>
            </w:r>
            <w:r>
              <w:rPr>
                <w:rFonts w:hint="eastAsia" w:ascii="宋体" w:hAnsi="宋体" w:eastAsia="宋体" w:cs="宋体"/>
                <w:color w:val="000000"/>
                <w:spacing w:val="15"/>
                <w:kern w:val="0"/>
                <w:sz w:val="21"/>
                <w:szCs w:val="21"/>
                <w:lang w:val="en-US" w:eastAsia="zh-CN" w:bidi="ar"/>
              </w:rPr>
              <w:t>条未处理</w:t>
            </w:r>
          </w:p>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部门动态不达标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发改局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18</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86</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科教局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30</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目录规定未公开</w:t>
            </w:r>
          </w:p>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政民互动</w:t>
            </w:r>
            <w:r>
              <w:rPr>
                <w:rFonts w:hint="eastAsia" w:ascii="BatangChe" w:hAnsi="BatangChe" w:eastAsia="BatangChe" w:cs="BatangChe"/>
                <w:color w:val="000000"/>
                <w:spacing w:val="15"/>
                <w:kern w:val="0"/>
                <w:sz w:val="21"/>
                <w:szCs w:val="21"/>
                <w:lang w:val="en-US" w:eastAsia="zh-CN" w:bidi="ar"/>
              </w:rPr>
              <w:t>1</w:t>
            </w:r>
            <w:r>
              <w:rPr>
                <w:rFonts w:hint="eastAsia" w:ascii="宋体" w:hAnsi="宋体" w:eastAsia="宋体" w:cs="宋体"/>
                <w:color w:val="000000"/>
                <w:spacing w:val="15"/>
                <w:kern w:val="0"/>
                <w:sz w:val="21"/>
                <w:szCs w:val="21"/>
                <w:lang w:val="en-US" w:eastAsia="zh-CN" w:bidi="ar"/>
              </w:rPr>
              <w:t>条未处理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经贸局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部门动态不达标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监察室（审计局）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19</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8</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财政局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9</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31</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9</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规划局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36</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120</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10</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公安局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100</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11</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国土局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23</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政民互动</w:t>
            </w:r>
            <w:r>
              <w:rPr>
                <w:rFonts w:hint="eastAsia" w:ascii="BatangChe" w:hAnsi="BatangChe" w:eastAsia="BatangChe" w:cs="BatangChe"/>
                <w:color w:val="000000"/>
                <w:spacing w:val="15"/>
                <w:kern w:val="0"/>
                <w:sz w:val="21"/>
                <w:szCs w:val="21"/>
                <w:lang w:val="en-US" w:eastAsia="zh-CN" w:bidi="ar"/>
              </w:rPr>
              <w:t>2</w:t>
            </w:r>
            <w:r>
              <w:rPr>
                <w:rFonts w:hint="eastAsia" w:ascii="宋体" w:hAnsi="宋体" w:eastAsia="宋体" w:cs="宋体"/>
                <w:color w:val="000000"/>
                <w:spacing w:val="15"/>
                <w:kern w:val="0"/>
                <w:sz w:val="21"/>
                <w:szCs w:val="21"/>
                <w:lang w:val="en-US" w:eastAsia="zh-CN" w:bidi="ar"/>
              </w:rPr>
              <w:t>条未处理</w:t>
            </w:r>
          </w:p>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部门动态不达标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12</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环保局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102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28</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149</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13</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农业局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13</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部门公开未公开</w:t>
            </w:r>
          </w:p>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部门动态不达标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14</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社会事业局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16</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132</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15</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国际合作局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39</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16</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安监局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36</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17</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市政局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9</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8</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53</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部门动态不达标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18</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药监局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9</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15</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目录规定未公开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8"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19</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金融办</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12</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部门动态不达标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20</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旅游局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41</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21</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投资服务局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12</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22</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展览局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25</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23</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招商各局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50</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24</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城改办（拆迁办）</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19</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部门动态未达标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25</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水务局</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14</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26</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工业园区办</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8</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16</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27</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农业园区管理中心</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18</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28</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公共资源交易中心</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102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115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219</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部门动态不达标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29</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创业中心</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34</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部门公开未公开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30</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科技信息中心</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25</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39</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31</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机关事务中心</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32</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示范区医院</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2</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13</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15</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BatangChe" w:hAnsi="BatangChe" w:eastAsia="BatangChe" w:cs="BatangChe"/>
                <w:color w:val="000000"/>
                <w:spacing w:val="15"/>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33</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农业科技报社</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87</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媒体公开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34</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杨凌电视台</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58</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媒体公开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35</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杨凌控股集团</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网站无法浏览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36</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华秦农牧公司</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6</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链接自有网站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37</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城投公司</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7</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0</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8</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政民互动</w:t>
            </w:r>
            <w:r>
              <w:rPr>
                <w:rFonts w:hint="eastAsia" w:ascii="BatangChe" w:hAnsi="BatangChe" w:eastAsia="BatangChe" w:cs="BatangChe"/>
                <w:color w:val="000000"/>
                <w:spacing w:val="15"/>
                <w:kern w:val="0"/>
                <w:sz w:val="21"/>
                <w:szCs w:val="21"/>
                <w:lang w:val="en-US" w:eastAsia="zh-CN" w:bidi="ar"/>
              </w:rPr>
              <w:t>2</w:t>
            </w:r>
            <w:r>
              <w:rPr>
                <w:rFonts w:hint="eastAsia" w:ascii="宋体" w:hAnsi="宋体" w:eastAsia="宋体" w:cs="宋体"/>
                <w:color w:val="000000"/>
                <w:spacing w:val="15"/>
                <w:kern w:val="0"/>
                <w:sz w:val="21"/>
                <w:szCs w:val="21"/>
                <w:lang w:val="en-US" w:eastAsia="zh-CN" w:bidi="ar"/>
              </w:rPr>
              <w:t>条未处理</w:t>
            </w:r>
          </w:p>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部门动态不达标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4" w:hRule="atLeast"/>
          <w:jc w:val="center"/>
        </w:trPr>
        <w:tc>
          <w:tcPr>
            <w:tcW w:w="632" w:type="dxa"/>
            <w:tcBorders>
              <w:top w:val="nil"/>
              <w:left w:val="single" w:color="auto" w:sz="8" w:space="0"/>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38</w:t>
            </w:r>
          </w:p>
        </w:tc>
        <w:tc>
          <w:tcPr>
            <w:tcW w:w="2141"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担保公司</w:t>
            </w:r>
          </w:p>
        </w:tc>
        <w:tc>
          <w:tcPr>
            <w:tcW w:w="783"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1</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4</w:t>
            </w:r>
          </w:p>
        </w:tc>
        <w:tc>
          <w:tcPr>
            <w:tcW w:w="784"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BatangChe" w:hAnsi="BatangChe" w:eastAsia="BatangChe" w:cs="BatangChe"/>
                <w:color w:val="000000"/>
                <w:spacing w:val="15"/>
                <w:kern w:val="0"/>
                <w:sz w:val="21"/>
                <w:szCs w:val="21"/>
                <w:lang w:val="en-US" w:eastAsia="zh-CN" w:bidi="ar"/>
              </w:rPr>
              <w:t>5</w:t>
            </w:r>
          </w:p>
        </w:tc>
        <w:tc>
          <w:tcPr>
            <w:tcW w:w="2240" w:type="dxa"/>
            <w:tcBorders>
              <w:top w:val="nil"/>
              <w:left w:val="nil"/>
              <w:bottom w:val="single" w:color="auto" w:sz="8" w:space="0"/>
              <w:right w:val="single" w:color="auto" w:sz="8" w:space="0"/>
            </w:tcBorders>
            <w:shd w:val="clear" w:color="auto" w:fill="auto"/>
            <w:tcMar>
              <w:left w:w="85" w:type="dxa"/>
              <w:right w:w="85" w:type="dxa"/>
            </w:tcMar>
            <w:vAlign w:val="center"/>
          </w:tcPr>
          <w:p>
            <w:pPr>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color w:val="000000"/>
                <w:spacing w:val="15"/>
                <w:kern w:val="0"/>
                <w:sz w:val="21"/>
                <w:szCs w:val="21"/>
                <w:lang w:val="en-US" w:eastAsia="zh-CN" w:bidi="ar"/>
              </w:rPr>
              <w:t>动态信息不达标</w:t>
            </w:r>
          </w:p>
        </w:tc>
      </w:tr>
    </w:tbl>
    <w:p>
      <w:pPr>
        <w:keepNext w:val="0"/>
        <w:keepLines w:val="0"/>
        <w:widowControl/>
        <w:suppressLineNumbers w:val="0"/>
        <w:spacing w:before="0" w:beforeAutospacing="1" w:after="0" w:afterAutospacing="1" w:line="300" w:lineRule="atLeast"/>
        <w:ind w:left="0" w:right="0" w:firstLine="420"/>
        <w:jc w:val="left"/>
      </w:pPr>
      <w:r>
        <w:rPr>
          <w:rFonts w:hint="eastAsia" w:ascii="宋体" w:hAnsi="宋体" w:eastAsia="宋体" w:cs="宋体"/>
          <w:color w:val="000000"/>
          <w:spacing w:val="15"/>
          <w:kern w:val="0"/>
          <w:sz w:val="24"/>
          <w:szCs w:val="24"/>
          <w:lang w:val="en-US" w:eastAsia="zh-CN" w:bidi="ar"/>
        </w:rPr>
        <w:t>注：1、目录规定：指信息公开目录规定部门必须依托公众信息网向社会公开的政府信息，列内注“/”的为不承担公开任务，注“0”的为承担公开任务未公开。</w:t>
      </w:r>
    </w:p>
    <w:p>
      <w:pPr>
        <w:keepNext w:val="0"/>
        <w:keepLines w:val="0"/>
        <w:widowControl/>
        <w:suppressLineNumbers w:val="0"/>
        <w:spacing w:before="0" w:beforeAutospacing="1" w:after="0" w:afterAutospacing="1" w:line="300" w:lineRule="atLeast"/>
        <w:ind w:left="0" w:right="0" w:firstLine="420"/>
        <w:jc w:val="left"/>
      </w:pPr>
      <w:r>
        <w:rPr>
          <w:rFonts w:hint="eastAsia" w:ascii="宋体" w:hAnsi="宋体" w:eastAsia="宋体" w:cs="宋体"/>
          <w:color w:val="000000"/>
          <w:spacing w:val="15"/>
          <w:kern w:val="0"/>
          <w:sz w:val="24"/>
          <w:szCs w:val="24"/>
          <w:lang w:val="en-US" w:eastAsia="zh-CN" w:bidi="ar"/>
        </w:rPr>
        <w:t>2、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keepNext w:val="0"/>
        <w:keepLines w:val="0"/>
        <w:widowControl/>
        <w:suppressLineNumbers w:val="0"/>
        <w:spacing w:before="0" w:beforeAutospacing="1" w:after="0" w:afterAutospacing="1" w:line="300" w:lineRule="atLeast"/>
        <w:ind w:left="0" w:right="0" w:firstLine="420"/>
        <w:jc w:val="left"/>
      </w:pPr>
      <w:r>
        <w:rPr>
          <w:rFonts w:hint="eastAsia" w:ascii="宋体" w:hAnsi="宋体" w:eastAsia="宋体" w:cs="宋体"/>
          <w:color w:val="000000"/>
          <w:spacing w:val="15"/>
          <w:kern w:val="0"/>
          <w:sz w:val="24"/>
          <w:szCs w:val="24"/>
          <w:lang w:val="en-US" w:eastAsia="zh-CN" w:bidi="ar"/>
        </w:rPr>
        <w:t>3、政民互动：指网民参与、网上办事频道以及各部门子站栏目公众留言受理办理信息。</w:t>
      </w:r>
    </w:p>
    <w:p>
      <w:pPr>
        <w:keepNext w:val="0"/>
        <w:keepLines w:val="0"/>
        <w:widowControl/>
        <w:suppressLineNumbers w:val="0"/>
        <w:spacing w:before="0" w:beforeAutospacing="1" w:after="0" w:afterAutospacing="1" w:line="300" w:lineRule="atLeast"/>
        <w:ind w:left="0" w:right="0" w:firstLine="420"/>
        <w:jc w:val="left"/>
      </w:pPr>
      <w:r>
        <w:rPr>
          <w:rFonts w:hint="eastAsia" w:ascii="宋体" w:hAnsi="宋体" w:eastAsia="宋体" w:cs="宋体"/>
          <w:color w:val="000000"/>
          <w:spacing w:val="15"/>
          <w:kern w:val="0"/>
          <w:sz w:val="24"/>
          <w:szCs w:val="24"/>
          <w:lang w:val="en-US" w:eastAsia="zh-CN" w:bidi="ar"/>
        </w:rPr>
        <w:t>4、部门动态：指部门在工作过程中的有关动态信息。5、管委会年度重点考核目录规定、部门公开、政民互动三项内容，部门动态（每月须更新2条），为参考项。</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BatangChe">
    <w:panose1 w:val="0203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楷体_GB2312">
    <w:altName w:val="宋体"/>
    <w:panose1 w:val="02010609030101010101"/>
    <w:charset w:val="00"/>
    <w:family w:val="auto"/>
    <w:pitch w:val="default"/>
    <w:sig w:usb0="00000000" w:usb1="00000000" w:usb2="00000000" w:usb3="00000000" w:csb0="00000000" w:csb1="00000000"/>
  </w:font>
  <w:font w:name="楷体_GB2312">
    <w:altName w:val="楷体"/>
    <w:panose1 w:val="02010609030101010101"/>
    <w:charset w:val="00"/>
    <w:family w:val="auto"/>
    <w:pitch w:val="default"/>
    <w:sig w:usb0="00000000" w:usb1="00000000" w:usb2="00000000" w:usb3="00000000" w:csb0="00000000" w:csb1="00000000"/>
  </w:font>
  <w:font w:name="@仿宋_GB2312">
    <w:altName w:val="仿宋"/>
    <w:panose1 w:val="02010609030101010101"/>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D06A5"/>
    <w:rsid w:val="4C0D06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2016-03-18T07:19:00Z</dcterms:created>
  <dc:creator>xxzxsf</dc:creator>
  <cp:lastModifiedBy>xxzxsf</cp:lastModifiedBy>
  <dcterms:modified xsi:type="dcterms:W3CDTF">2016-03-18T07:21:26Z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