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BatangChe" w:hAnsi="BatangChe" w:eastAsia="黑体"/>
          <w:sz w:val="32"/>
          <w:szCs w:val="32"/>
        </w:rPr>
      </w:pPr>
      <w:r>
        <w:rPr>
          <w:rFonts w:hint="eastAsia" w:ascii="黑体" w:hAnsi="BatangChe" w:eastAsia="黑体"/>
          <w:sz w:val="32"/>
          <w:szCs w:val="32"/>
        </w:rPr>
        <w:t>附件</w:t>
      </w:r>
      <w:r>
        <w:rPr>
          <w:rFonts w:hint="eastAsia" w:ascii="BatangChe" w:hAnsi="BatangChe" w:eastAsia="黑体"/>
          <w:sz w:val="32"/>
          <w:szCs w:val="32"/>
        </w:rPr>
        <w:t>2</w:t>
      </w:r>
    </w:p>
    <w:p>
      <w:pPr>
        <w:snapToGrid w:val="0"/>
        <w:jc w:val="center"/>
        <w:rPr>
          <w:rFonts w:hint="eastAsia" w:ascii="BatangChe" w:hAnsi="BatangChe" w:eastAsia="方正小标宋简体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/>
          <w:sz w:val="44"/>
          <w:szCs w:val="44"/>
        </w:rPr>
        <w:t>2018</w:t>
      </w:r>
      <w:r>
        <w:rPr>
          <w:rFonts w:hint="eastAsia" w:ascii="方正小标宋简体" w:hAnsi="BatangChe" w:eastAsia="方正小标宋简体"/>
          <w:sz w:val="44"/>
          <w:szCs w:val="44"/>
        </w:rPr>
        <w:t>年第二季度管委会官方微博、微信和</w:t>
      </w:r>
    </w:p>
    <w:p>
      <w:pPr>
        <w:snapToGrid w:val="0"/>
        <w:jc w:val="center"/>
        <w:rPr>
          <w:rFonts w:hint="eastAsia" w:ascii="BatangChe" w:hAnsi="BatangChe" w:eastAsia="方正小标宋简体"/>
          <w:sz w:val="44"/>
          <w:szCs w:val="44"/>
        </w:rPr>
      </w:pPr>
      <w:r>
        <w:rPr>
          <w:rFonts w:hint="eastAsia" w:ascii="方正小标宋简体" w:hAnsi="BatangChe" w:eastAsia="方正小标宋简体"/>
          <w:sz w:val="44"/>
          <w:szCs w:val="44"/>
        </w:rPr>
        <w:t>客户端发布情况</w:t>
      </w:r>
      <w:bookmarkEnd w:id="0"/>
    </w:p>
    <w:p>
      <w:pPr>
        <w:ind w:firstLine="600" w:firstLineChars="250"/>
        <w:jc w:val="right"/>
        <w:rPr>
          <w:rFonts w:hint="eastAsia" w:ascii="BatangChe" w:hAnsi="BatangChe" w:eastAsia="BatangChe"/>
          <w:sz w:val="24"/>
        </w:rPr>
      </w:pPr>
      <w:r>
        <w:rPr>
          <w:rFonts w:hint="eastAsia" w:ascii="BatangChe" w:hAnsi="BatangChe"/>
          <w:sz w:val="24"/>
        </w:rPr>
        <w:t xml:space="preserve"> </w:t>
      </w:r>
      <w:r>
        <w:rPr>
          <w:rFonts w:hint="eastAsia" w:ascii="BatangChe" w:hAnsi="BatangChe" w:eastAsia="BatangChe"/>
          <w:sz w:val="24"/>
        </w:rPr>
        <w:t xml:space="preserve">                 </w:t>
      </w:r>
      <w:r>
        <w:rPr>
          <w:rFonts w:hint="eastAsia" w:ascii="BatangChe" w:hAnsi="BatangChe"/>
          <w:sz w:val="24"/>
        </w:rPr>
        <w:t xml:space="preserve">          </w:t>
      </w:r>
      <w:r>
        <w:rPr>
          <w:rFonts w:hint="eastAsia" w:ascii="宋体" w:hAnsi="宋体"/>
          <w:sz w:val="24"/>
        </w:rPr>
        <w:t>单位：条</w:t>
      </w:r>
    </w:p>
    <w:tbl>
      <w:tblPr>
        <w:tblStyle w:val="3"/>
        <w:tblW w:w="884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序  号</w:t>
            </w:r>
          </w:p>
        </w:tc>
        <w:tc>
          <w:tcPr>
            <w:tcW w:w="26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类  别</w:t>
            </w:r>
          </w:p>
        </w:tc>
        <w:tc>
          <w:tcPr>
            <w:tcW w:w="24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承办单位</w:t>
            </w:r>
          </w:p>
        </w:tc>
        <w:tc>
          <w:tcPr>
            <w:tcW w:w="25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BatangChe" w:cs="黑体"/>
                <w:sz w:val="24"/>
              </w:rPr>
            </w:pPr>
            <w:r>
              <w:rPr>
                <w:rFonts w:hint="eastAsia" w:ascii="BatangChe" w:hAnsi="BatangChe" w:eastAsia="BatangChe"/>
                <w:sz w:val="24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农业科技报社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171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2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BatangChe" w:hAnsi="BatangChe" w:cs="黑体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353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3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管委会客户端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党工委宣传部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725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eastAsia="BatangChe" w:cs="宋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总计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1249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F6726"/>
    <w:rsid w:val="362F67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2018-07-11T10:42:00Z</dcterms:created>
  <dc:creator>pc</dc:creator>
  <cp:lastModifiedBy>pc</cp:lastModifiedBy>
  <dcterms:modified xsi:type="dcterms:W3CDTF">2018-07-11T10:44:42Z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