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BatangChe" w:hAnsi="BatangChe" w:eastAsia="黑体"/>
        </w:rPr>
      </w:pPr>
      <w:r>
        <w:rPr>
          <w:rFonts w:hint="eastAsia" w:ascii="BatangChe" w:hAnsi="BatangChe" w:eastAsia="黑体"/>
        </w:rPr>
        <w:t>附件</w:t>
      </w:r>
      <w:r>
        <w:rPr>
          <w:rFonts w:ascii="BatangChe" w:hAnsi="BatangChe" w:eastAsia="黑体"/>
        </w:rPr>
        <w:t>1</w:t>
      </w:r>
    </w:p>
    <w:p>
      <w:pPr>
        <w:snapToGrid w:val="0"/>
        <w:rPr>
          <w:rFonts w:ascii="BatangChe" w:hAnsi="BatangChe" w:eastAsia="黑体"/>
        </w:rPr>
      </w:pPr>
    </w:p>
    <w:p>
      <w:pPr>
        <w:snapToGrid w:val="0"/>
        <w:jc w:val="center"/>
        <w:rPr>
          <w:rFonts w:ascii="BatangChe" w:hAnsi="BatangChe" w:eastAsia="方正小标宋简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sz w:val="44"/>
          <w:szCs w:val="44"/>
        </w:rPr>
        <w:t>《杨凌示范区声环境功能区划分调整方案》</w:t>
      </w:r>
    </w:p>
    <w:p>
      <w:pPr>
        <w:snapToGrid w:val="0"/>
        <w:jc w:val="center"/>
        <w:rPr>
          <w:rFonts w:ascii="BatangChe" w:hAnsi="BatangChe" w:eastAsia="方正小标宋简体"/>
          <w:sz w:val="44"/>
          <w:szCs w:val="44"/>
        </w:rPr>
      </w:pPr>
      <w:r>
        <w:rPr>
          <w:rFonts w:hint="eastAsia" w:ascii="BatangChe" w:hAnsi="BatangChe" w:eastAsia="方正小标宋简体"/>
          <w:sz w:val="44"/>
          <w:szCs w:val="44"/>
        </w:rPr>
        <w:t>编制说明</w:t>
      </w:r>
    </w:p>
    <w:bookmarkEnd w:id="0"/>
    <w:p>
      <w:pPr>
        <w:snapToGrid w:val="0"/>
        <w:spacing w:line="360" w:lineRule="auto"/>
        <w:ind w:firstLine="632" w:firstLineChars="200"/>
        <w:rPr>
          <w:rFonts w:ascii="BatangChe" w:eastAsia="BatangChe"/>
        </w:rPr>
      </w:pPr>
    </w:p>
    <w:p>
      <w:pPr>
        <w:snapToGrid w:val="0"/>
        <w:spacing w:line="348" w:lineRule="auto"/>
        <w:ind w:firstLine="632" w:firstLineChars="200"/>
        <w:rPr>
          <w:rFonts w:ascii="BatangChe" w:hAnsi="BatangChe" w:eastAsia="黑体"/>
        </w:rPr>
      </w:pPr>
      <w:r>
        <w:rPr>
          <w:rFonts w:hint="eastAsia" w:ascii="BatangChe" w:hAnsi="BatangChe" w:eastAsia="黑体"/>
        </w:rPr>
        <w:t>一、背景介绍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（一）首次声环境功能区划分情况简介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>2012</w:t>
      </w:r>
      <w:r>
        <w:rPr>
          <w:rFonts w:hint="eastAsia" w:ascii="BatangChe" w:hAnsi="BatangChe"/>
        </w:rPr>
        <w:t>年，杨凌示范区首次开展了声环境功能区划分工作。</w:t>
      </w:r>
      <w:r>
        <w:rPr>
          <w:rFonts w:ascii="BatangChe" w:hAnsi="BatangChe"/>
        </w:rPr>
        <w:t>2012</w:t>
      </w:r>
      <w:r>
        <w:rPr>
          <w:rFonts w:hint="eastAsia" w:ascii="BatangChe" w:hAnsi="BatangChe"/>
        </w:rPr>
        <w:t>年</w:t>
      </w:r>
      <w:r>
        <w:rPr>
          <w:rFonts w:ascii="BatangChe" w:hAnsi="BatangChe"/>
        </w:rPr>
        <w:t>12</w:t>
      </w:r>
      <w:r>
        <w:rPr>
          <w:rFonts w:hint="eastAsia" w:ascii="BatangChe" w:hAnsi="BatangChe"/>
        </w:rPr>
        <w:t>月</w:t>
      </w:r>
      <w:r>
        <w:rPr>
          <w:rFonts w:ascii="BatangChe" w:hAnsi="BatangChe"/>
        </w:rPr>
        <w:t>20</w:t>
      </w:r>
      <w:r>
        <w:rPr>
          <w:rFonts w:hint="eastAsia" w:ascii="BatangChe" w:hAnsi="BatangChe"/>
        </w:rPr>
        <w:t>日，管委会办公室下发《关于印发杨凌示范区城区声环境质量标准功能区划的通知》（杨管办发〔</w:t>
      </w:r>
      <w:r>
        <w:rPr>
          <w:rFonts w:ascii="BatangChe" w:hAnsi="BatangChe"/>
        </w:rPr>
        <w:t>2012</w:t>
      </w:r>
      <w:r>
        <w:rPr>
          <w:rFonts w:hint="eastAsia" w:ascii="BatangChe" w:hAnsi="BatangChe"/>
        </w:rPr>
        <w:t>〕</w:t>
      </w:r>
      <w:r>
        <w:rPr>
          <w:rFonts w:ascii="BatangChe" w:hAnsi="BatangChe"/>
        </w:rPr>
        <w:t>59</w:t>
      </w:r>
      <w:r>
        <w:rPr>
          <w:rFonts w:hint="eastAsia" w:ascii="BatangChe" w:hAnsi="BatangChe"/>
        </w:rPr>
        <w:t>号），正式以文件形式对外发布。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首次划分的主要依据为《城市区域环境噪声适用区划技术规范》（</w:t>
      </w:r>
      <w:r>
        <w:rPr>
          <w:rFonts w:ascii="BatangChe" w:hAnsi="BatangChe"/>
        </w:rPr>
        <w:t>GB/T15190—94</w:t>
      </w:r>
      <w:r>
        <w:rPr>
          <w:rFonts w:hint="eastAsia" w:ascii="BatangChe" w:hAnsi="BatangChe"/>
        </w:rPr>
        <w:t>）及</w:t>
      </w:r>
      <w:r>
        <w:rPr>
          <w:rFonts w:ascii="BatangChe" w:hAnsi="BatangChe"/>
        </w:rPr>
        <w:t>2010</w:t>
      </w:r>
      <w:r>
        <w:rPr>
          <w:rFonts w:hint="eastAsia" w:ascii="BatangChe" w:hAnsi="BatangChe"/>
        </w:rPr>
        <w:t>年版《杨凌城区总体规划》（</w:t>
      </w:r>
      <w:r>
        <w:rPr>
          <w:rFonts w:ascii="BatangChe" w:hAnsi="BatangChe"/>
        </w:rPr>
        <w:t>2010</w:t>
      </w:r>
      <w:r>
        <w:rPr>
          <w:rFonts w:hint="eastAsia" w:ascii="BatangChe" w:hAnsi="BatangChe"/>
        </w:rPr>
        <w:t>～</w:t>
      </w:r>
      <w:r>
        <w:rPr>
          <w:rFonts w:ascii="BatangChe" w:hAnsi="BatangChe"/>
        </w:rPr>
        <w:t>2020</w:t>
      </w:r>
      <w:r>
        <w:rPr>
          <w:rFonts w:hint="eastAsia" w:ascii="BatangChe" w:hAnsi="BatangChe"/>
        </w:rPr>
        <w:t>），区划范围为整个杨凌示范区建成规划区，北至孟杨路，南到渭河，西至规划西环路，东到城乡规划东界，总面积</w:t>
      </w:r>
      <w:r>
        <w:rPr>
          <w:rFonts w:ascii="BatangChe" w:hAnsi="BatangChe"/>
        </w:rPr>
        <w:t>81.50</w:t>
      </w:r>
      <w:r>
        <w:rPr>
          <w:rFonts w:hint="eastAsia" w:ascii="BatangChe" w:hAnsi="BatangChe"/>
        </w:rPr>
        <w:t>平方公里。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首次划分结果如下：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23.63</w:t>
      </w:r>
      <w:r>
        <w:rPr>
          <w:rFonts w:hint="eastAsia" w:ascii="BatangChe" w:hAnsi="BatangChe"/>
        </w:rPr>
        <w:t>平方千米，含科教住宅北区和科教住宅南区两个片区；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24.76</w:t>
      </w:r>
      <w:r>
        <w:rPr>
          <w:rFonts w:hint="eastAsia" w:ascii="BatangChe" w:hAnsi="BatangChe"/>
        </w:rPr>
        <w:t>平方千米，含商住混合区和发展备用区两个片区；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19.46</w:t>
      </w:r>
      <w:r>
        <w:rPr>
          <w:rFonts w:hint="eastAsia" w:ascii="BatangChe" w:hAnsi="BatangChe"/>
        </w:rPr>
        <w:t>平方千米，主要为工业物流区；</w:t>
      </w:r>
      <w:r>
        <w:rPr>
          <w:rFonts w:ascii="BatangChe" w:hAnsi="BatangChe"/>
        </w:rPr>
        <w:t>4</w:t>
      </w:r>
      <w:r>
        <w:rPr>
          <w:rFonts w:hint="eastAsia" w:ascii="BatangChe" w:hAnsi="BatangChe"/>
        </w:rPr>
        <w:t>类区分</w:t>
      </w:r>
      <w:r>
        <w:rPr>
          <w:rFonts w:ascii="BatangChe" w:hAnsi="BatangChe"/>
        </w:rPr>
        <w:t>4a</w:t>
      </w:r>
      <w:r>
        <w:rPr>
          <w:rFonts w:hint="eastAsia" w:ascii="BatangChe" w:hAnsi="BatangChe"/>
        </w:rPr>
        <w:t>和</w:t>
      </w:r>
      <w:r>
        <w:rPr>
          <w:rFonts w:ascii="BatangChe" w:hAnsi="BatangChe"/>
        </w:rPr>
        <w:t>4b</w:t>
      </w:r>
      <w:r>
        <w:rPr>
          <w:rFonts w:hint="eastAsia" w:ascii="BatangChe" w:hAnsi="BatangChe"/>
        </w:rPr>
        <w:t>两大类，</w:t>
      </w:r>
      <w:r>
        <w:rPr>
          <w:rFonts w:ascii="BatangChe" w:hAnsi="BatangChe"/>
        </w:rPr>
        <w:t>4a</w:t>
      </w:r>
      <w:r>
        <w:rPr>
          <w:rFonts w:hint="eastAsia" w:ascii="BatangChe" w:hAnsi="BatangChe"/>
        </w:rPr>
        <w:t>类共涉及</w:t>
      </w:r>
      <w:r>
        <w:rPr>
          <w:rFonts w:ascii="BatangChe" w:hAnsi="BatangChe"/>
        </w:rPr>
        <w:t>23</w:t>
      </w:r>
      <w:r>
        <w:rPr>
          <w:rFonts w:hint="eastAsia" w:ascii="BatangChe" w:hAnsi="BatangChe"/>
        </w:rPr>
        <w:t>条道路两侧区域，总长度</w:t>
      </w:r>
      <w:r>
        <w:rPr>
          <w:rFonts w:ascii="BatangChe" w:hAnsi="BatangChe"/>
        </w:rPr>
        <w:t>163.0</w:t>
      </w:r>
      <w:r>
        <w:rPr>
          <w:rFonts w:hint="eastAsia" w:ascii="BatangChe" w:hAnsi="BatangChe"/>
        </w:rPr>
        <w:t>千米，</w:t>
      </w:r>
      <w:r>
        <w:rPr>
          <w:rFonts w:ascii="BatangChe" w:hAnsi="BatangChe"/>
        </w:rPr>
        <w:t>4b</w:t>
      </w:r>
      <w:r>
        <w:rPr>
          <w:rFonts w:hint="eastAsia" w:ascii="BatangChe" w:hAnsi="BatangChe"/>
        </w:rPr>
        <w:t>类为陇海铁路和西宝高铁及两侧区域，总长度</w:t>
      </w:r>
      <w:r>
        <w:rPr>
          <w:rFonts w:ascii="BatangChe" w:hAnsi="BatangChe"/>
        </w:rPr>
        <w:t>23.5</w:t>
      </w:r>
      <w:r>
        <w:rPr>
          <w:rFonts w:hint="eastAsia" w:ascii="BatangChe" w:hAnsi="BatangChe"/>
        </w:rPr>
        <w:t>千米。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（二）现行区划方案存在的问题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1. </w:t>
      </w:r>
      <w:r>
        <w:rPr>
          <w:rFonts w:hint="eastAsia" w:ascii="BatangChe" w:hAnsi="BatangChe"/>
        </w:rPr>
        <w:t>现行区划方案，是以</w:t>
      </w:r>
      <w:r>
        <w:rPr>
          <w:rFonts w:ascii="BatangChe" w:hAnsi="BatangChe"/>
        </w:rPr>
        <w:t>1994</w:t>
      </w:r>
      <w:r>
        <w:rPr>
          <w:rFonts w:hint="eastAsia" w:ascii="BatangChe" w:hAnsi="BatangChe"/>
        </w:rPr>
        <w:t>年的国标《城市区域环境噪声适用区划技术规范》（</w:t>
      </w:r>
      <w:r>
        <w:rPr>
          <w:rFonts w:ascii="BatangChe" w:hAnsi="BatangChe"/>
        </w:rPr>
        <w:t>GB/T15190—94</w:t>
      </w:r>
      <w:r>
        <w:rPr>
          <w:rFonts w:hint="eastAsia" w:ascii="BatangChe" w:hAnsi="BatangChe"/>
        </w:rPr>
        <w:t>）为技术指导进行编制的，</w:t>
      </w:r>
      <w:r>
        <w:rPr>
          <w:rFonts w:ascii="BatangChe" w:hAnsi="BatangChe"/>
        </w:rPr>
        <w:t>2014</w:t>
      </w:r>
      <w:r>
        <w:rPr>
          <w:rFonts w:hint="eastAsia" w:ascii="BatangChe" w:hAnsi="BatangChe"/>
        </w:rPr>
        <w:t>年环境保护部及国家质量监督检验检疫总局发布了《声环境功能区划分技术规范》（</w:t>
      </w:r>
      <w:r>
        <w:rPr>
          <w:rFonts w:ascii="BatangChe" w:hAnsi="BatangChe"/>
        </w:rPr>
        <w:t>GB/T15190-2014</w:t>
      </w:r>
      <w:r>
        <w:rPr>
          <w:rFonts w:hint="eastAsia" w:ascii="BatangChe" w:hAnsi="BatangChe"/>
        </w:rPr>
        <w:t>），</w:t>
      </w:r>
      <w:r>
        <w:rPr>
          <w:rFonts w:ascii="BatangChe" w:hAnsi="BatangChe"/>
        </w:rPr>
        <w:t>2015</w:t>
      </w:r>
      <w:r>
        <w:rPr>
          <w:rFonts w:hint="eastAsia" w:ascii="BatangChe" w:hAnsi="BatangChe"/>
        </w:rPr>
        <w:t>年开始实施，</w:t>
      </w:r>
      <w:r>
        <w:rPr>
          <w:rFonts w:ascii="BatangChe" w:hAnsi="BatangChe"/>
        </w:rPr>
        <w:t>94</w:t>
      </w:r>
      <w:r>
        <w:rPr>
          <w:rFonts w:hint="eastAsia" w:ascii="BatangChe" w:hAnsi="BatangChe"/>
        </w:rPr>
        <w:t>标准废止。现有的区划方案，需要根据新的国标做出相应的调整。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>2. 2018</w:t>
      </w:r>
      <w:r>
        <w:rPr>
          <w:rFonts w:hint="eastAsia" w:ascii="BatangChe" w:hAnsi="BatangChe"/>
        </w:rPr>
        <w:t>年《杨凌城乡总体规划修编》（</w:t>
      </w:r>
      <w:r>
        <w:rPr>
          <w:rFonts w:ascii="BatangChe" w:hAnsi="BatangChe"/>
        </w:rPr>
        <w:t>2017-2035</w:t>
      </w:r>
      <w:r>
        <w:rPr>
          <w:rFonts w:hint="eastAsia" w:ascii="BatangChe" w:hAnsi="BatangChe"/>
        </w:rPr>
        <w:t>）发布，相较于</w:t>
      </w:r>
      <w:r>
        <w:rPr>
          <w:rFonts w:ascii="BatangChe" w:hAnsi="BatangChe"/>
        </w:rPr>
        <w:t>2010</w:t>
      </w:r>
      <w:r>
        <w:rPr>
          <w:rFonts w:hint="eastAsia" w:ascii="BatangChe" w:hAnsi="BatangChe"/>
        </w:rPr>
        <w:t>年版《杨凌城区总体规划》（</w:t>
      </w:r>
      <w:r>
        <w:rPr>
          <w:rFonts w:ascii="BatangChe" w:hAnsi="BatangChe"/>
        </w:rPr>
        <w:t>2010</w:t>
      </w:r>
      <w:r>
        <w:rPr>
          <w:rFonts w:hint="eastAsia" w:ascii="BatangChe" w:hAnsi="BatangChe"/>
        </w:rPr>
        <w:t>～</w:t>
      </w:r>
      <w:r>
        <w:rPr>
          <w:rFonts w:ascii="BatangChe" w:hAnsi="BatangChe"/>
        </w:rPr>
        <w:t>2020</w:t>
      </w:r>
      <w:r>
        <w:rPr>
          <w:rFonts w:hint="eastAsia" w:ascii="BatangChe" w:hAnsi="BatangChe"/>
        </w:rPr>
        <w:t>）有较大变动，原有的区划方案，有些方面已不适用于杨凌规划发展的需求。因此，需再次开展声环境功能区划，对首次声环境功能区划分方案做出调整，以满足新版城乡总体规划要求。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黑体"/>
        </w:rPr>
      </w:pPr>
      <w:r>
        <w:rPr>
          <w:rFonts w:hint="eastAsia" w:ascii="BatangChe" w:hAnsi="BatangChe" w:eastAsia="黑体"/>
        </w:rPr>
        <w:t>二、杨凌示范区总体规划简介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《杨凌城乡总体规划修编》（</w:t>
      </w:r>
      <w:r>
        <w:rPr>
          <w:rFonts w:ascii="BatangChe" w:hAnsi="BatangChe"/>
        </w:rPr>
        <w:t>2017-2035</w:t>
      </w:r>
      <w:r>
        <w:rPr>
          <w:rFonts w:hint="eastAsia" w:ascii="BatangChe" w:hAnsi="BatangChe"/>
        </w:rPr>
        <w:t>）文本确定：规划</w:t>
      </w:r>
      <w:r>
        <w:rPr>
          <w:rFonts w:ascii="BatangChe" w:hAnsi="BatangChe"/>
        </w:rPr>
        <w:t>2020</w:t>
      </w:r>
      <w:r>
        <w:rPr>
          <w:rFonts w:hint="eastAsia" w:ascii="BatangChe" w:hAnsi="BatangChe"/>
        </w:rPr>
        <w:t>年市域总人口为</w:t>
      </w:r>
      <w:r>
        <w:rPr>
          <w:rFonts w:ascii="BatangChe" w:hAnsi="BatangChe"/>
        </w:rPr>
        <w:t>32</w:t>
      </w:r>
      <w:r>
        <w:rPr>
          <w:rFonts w:hint="eastAsia" w:ascii="BatangChe" w:hAnsi="BatangChe"/>
        </w:rPr>
        <w:t>万人，城镇化率达到</w:t>
      </w:r>
      <w:r>
        <w:rPr>
          <w:rFonts w:ascii="BatangChe" w:hAnsi="BatangChe"/>
        </w:rPr>
        <w:t>88%</w:t>
      </w:r>
      <w:r>
        <w:rPr>
          <w:rFonts w:hint="eastAsia" w:ascii="BatangChe" w:hAnsi="BatangChe"/>
        </w:rPr>
        <w:t>；</w:t>
      </w:r>
      <w:r>
        <w:rPr>
          <w:rFonts w:ascii="BatangChe" w:hAnsi="BatangChe"/>
        </w:rPr>
        <w:t>2035</w:t>
      </w:r>
      <w:r>
        <w:rPr>
          <w:rFonts w:hint="eastAsia" w:ascii="BatangChe" w:hAnsi="BatangChe"/>
        </w:rPr>
        <w:t>年市域总人口为</w:t>
      </w:r>
      <w:r>
        <w:rPr>
          <w:rFonts w:ascii="BatangChe" w:hAnsi="BatangChe"/>
        </w:rPr>
        <w:t>50</w:t>
      </w:r>
      <w:r>
        <w:rPr>
          <w:rFonts w:hint="eastAsia" w:ascii="BatangChe" w:hAnsi="BatangChe"/>
        </w:rPr>
        <w:t>万人，城镇化率达到</w:t>
      </w:r>
      <w:r>
        <w:rPr>
          <w:rFonts w:ascii="BatangChe" w:hAnsi="BatangChe"/>
        </w:rPr>
        <w:t>93%</w:t>
      </w:r>
      <w:r>
        <w:rPr>
          <w:rFonts w:hint="eastAsia" w:ascii="BatangChe" w:hAnsi="BatangChe"/>
        </w:rPr>
        <w:t>。</w:t>
      </w:r>
      <w:r>
        <w:rPr>
          <w:rFonts w:ascii="BatangChe" w:hAnsi="BatangChe"/>
        </w:rPr>
        <w:t>2035</w:t>
      </w:r>
      <w:r>
        <w:rPr>
          <w:rFonts w:hint="eastAsia" w:ascii="BatangChe" w:hAnsi="BatangChe"/>
        </w:rPr>
        <w:t>年城市建设用地</w:t>
      </w:r>
      <w:r>
        <w:rPr>
          <w:rFonts w:ascii="BatangChe" w:hAnsi="BatangChe"/>
        </w:rPr>
        <w:t>56.25</w:t>
      </w:r>
      <w:r>
        <w:rPr>
          <w:rFonts w:hint="eastAsia" w:ascii="BatangChe" w:hAnsi="BatangChe"/>
        </w:rPr>
        <w:t>平方公里，人均城市建设用地</w:t>
      </w:r>
      <w:r>
        <w:rPr>
          <w:rFonts w:ascii="BatangChe" w:hAnsi="BatangChe"/>
        </w:rPr>
        <w:t>134</w:t>
      </w:r>
      <w:r>
        <w:rPr>
          <w:rFonts w:hint="eastAsia" w:ascii="BatangChe" w:hAnsi="BatangChe"/>
        </w:rPr>
        <w:t>平方米；规划</w:t>
      </w:r>
      <w:r>
        <w:rPr>
          <w:rFonts w:ascii="BatangChe" w:hAnsi="BatangChe"/>
        </w:rPr>
        <w:t>2035</w:t>
      </w:r>
      <w:r>
        <w:rPr>
          <w:rFonts w:hint="eastAsia" w:ascii="BatangChe" w:hAnsi="BatangChe"/>
        </w:rPr>
        <w:t>年中心城区城市人口约为</w:t>
      </w:r>
      <w:r>
        <w:rPr>
          <w:rFonts w:ascii="BatangChe" w:hAnsi="BatangChe"/>
        </w:rPr>
        <w:t>42</w:t>
      </w:r>
      <w:r>
        <w:rPr>
          <w:rFonts w:hint="eastAsia" w:ascii="BatangChe" w:hAnsi="BatangChe"/>
        </w:rPr>
        <w:t>万人，为适应人口流动和人口发展的不确定性，城市基础设施按</w:t>
      </w:r>
      <w:r>
        <w:rPr>
          <w:rFonts w:ascii="BatangChe" w:hAnsi="BatangChe"/>
        </w:rPr>
        <w:t>45</w:t>
      </w:r>
      <w:r>
        <w:rPr>
          <w:rFonts w:hint="eastAsia" w:ascii="BatangChe" w:hAnsi="BatangChe"/>
        </w:rPr>
        <w:t>万人配置，近期</w:t>
      </w:r>
      <w:r>
        <w:rPr>
          <w:rFonts w:ascii="BatangChe" w:hAnsi="BatangChe"/>
        </w:rPr>
        <w:t>2020</w:t>
      </w:r>
      <w:r>
        <w:rPr>
          <w:rFonts w:hint="eastAsia" w:ascii="BatangChe" w:hAnsi="BatangChe"/>
        </w:rPr>
        <w:t>年中心城区人口约为</w:t>
      </w:r>
      <w:r>
        <w:rPr>
          <w:rFonts w:ascii="BatangChe" w:hAnsi="BatangChe"/>
        </w:rPr>
        <w:t>25</w:t>
      </w:r>
      <w:r>
        <w:rPr>
          <w:rFonts w:hint="eastAsia" w:ascii="BatangChe" w:hAnsi="BatangChe"/>
        </w:rPr>
        <w:t>万人，城市基础设施按照</w:t>
      </w:r>
      <w:r>
        <w:rPr>
          <w:rFonts w:ascii="BatangChe" w:hAnsi="BatangChe"/>
        </w:rPr>
        <w:t>30</w:t>
      </w:r>
      <w:r>
        <w:rPr>
          <w:rFonts w:hint="eastAsia" w:ascii="BatangChe" w:hAnsi="BatangChe"/>
        </w:rPr>
        <w:t>万人配置。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（一）规划范围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杨凌城乡一体化建设规划范围：即杨凌行政管辖区范围，规划区总面积</w:t>
      </w:r>
      <w:r>
        <w:rPr>
          <w:rFonts w:ascii="BatangChe" w:hAnsi="BatangChe"/>
        </w:rPr>
        <w:t>132.57</w:t>
      </w:r>
      <w:r>
        <w:rPr>
          <w:rFonts w:hint="eastAsia" w:ascii="BatangChe" w:hAnsi="BatangChe"/>
        </w:rPr>
        <w:t>平方公里。中心城区总体规划范围：高研路以东、杨扶路以南的区域，面积约</w:t>
      </w:r>
      <w:r>
        <w:rPr>
          <w:rFonts w:ascii="BatangChe" w:hAnsi="BatangChe"/>
        </w:rPr>
        <w:t>58.62</w:t>
      </w:r>
      <w:r>
        <w:rPr>
          <w:rFonts w:hint="eastAsia" w:ascii="BatangChe" w:hAnsi="BatangChe"/>
        </w:rPr>
        <w:t>平方公里。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（二）市域城镇体系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规划形成由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个中心城市、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个城镇、</w:t>
      </w:r>
      <w:r>
        <w:rPr>
          <w:rFonts w:ascii="BatangChe" w:hAnsi="BatangChe"/>
        </w:rPr>
        <w:t>5</w:t>
      </w:r>
      <w:r>
        <w:rPr>
          <w:rFonts w:hint="eastAsia" w:ascii="BatangChe" w:hAnsi="BatangChe"/>
        </w:rPr>
        <w:t>个农村社区、若干美丽宜居乡村构成的全域统筹、城乡一体、协调发展的城镇体系。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个中心城市即杨凌中心城区，由重点发展科技创新、金融服务、教育培训、信息服务等功能，是支撑杨凌成为全国现代农业高新技术示范区的产业高地。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个城镇即五泉镇、揉谷镇。其中，五泉镇总人口</w:t>
      </w:r>
      <w:r>
        <w:rPr>
          <w:rFonts w:ascii="BatangChe" w:hAnsi="BatangChe"/>
        </w:rPr>
        <w:t>1.6</w:t>
      </w:r>
      <w:r>
        <w:rPr>
          <w:rFonts w:hint="eastAsia" w:ascii="BatangChe" w:hAnsi="BatangChe"/>
        </w:rPr>
        <w:t>万人，远期建设规模为</w:t>
      </w:r>
      <w:r>
        <w:rPr>
          <w:rFonts w:ascii="BatangChe" w:hAnsi="BatangChe"/>
        </w:rPr>
        <w:t>171.20</w:t>
      </w:r>
      <w:r>
        <w:rPr>
          <w:rFonts w:hint="eastAsia" w:ascii="BatangChe" w:hAnsi="BatangChe"/>
        </w:rPr>
        <w:t>公顷，重点发展现代农业、农产品加工、专业市场，配套集贸、教育、医疗、旅游等功能；揉谷镇总人口</w:t>
      </w:r>
      <w:r>
        <w:rPr>
          <w:rFonts w:ascii="BatangChe" w:hAnsi="BatangChe"/>
        </w:rPr>
        <w:t>2.9</w:t>
      </w:r>
      <w:r>
        <w:rPr>
          <w:rFonts w:hint="eastAsia" w:ascii="BatangChe" w:hAnsi="BatangChe"/>
        </w:rPr>
        <w:t>万人，远期建设规模</w:t>
      </w:r>
      <w:r>
        <w:rPr>
          <w:rFonts w:ascii="BatangChe" w:hAnsi="BatangChe"/>
        </w:rPr>
        <w:t>300.24</w:t>
      </w:r>
      <w:r>
        <w:rPr>
          <w:rFonts w:hint="eastAsia" w:ascii="BatangChe" w:hAnsi="BatangChe"/>
        </w:rPr>
        <w:t>公顷，重点发展现代观光农业、特色休闲旅游产业和综合养老服务产业等功能。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（三）城乡空间布局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在建设用地适宜性评价的基础上，将规划区用地分为禁建区、限建区、适建区和已建区，并提出相应措施，加强对四区的空间管制和建设引导。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1. </w:t>
      </w:r>
      <w:r>
        <w:rPr>
          <w:rFonts w:hint="eastAsia" w:ascii="BatangChe" w:hAnsi="BatangChe"/>
        </w:rPr>
        <w:t>禁建区：指对自然生态环境具有严重影响，或采取大量工程措施才能建设的用地，主要渭河、韦河、漆水河等水域、排洪河道等控制范围，面积约</w:t>
      </w:r>
      <w:r>
        <w:rPr>
          <w:rFonts w:ascii="BatangChe" w:hAnsi="BatangChe"/>
        </w:rPr>
        <w:t>9.11</w:t>
      </w:r>
      <w:r>
        <w:rPr>
          <w:rFonts w:hint="eastAsia" w:ascii="BatangChe" w:hAnsi="BatangChe"/>
        </w:rPr>
        <w:t>平方公里，占总用地的</w:t>
      </w:r>
      <w:r>
        <w:rPr>
          <w:rFonts w:ascii="BatangChe" w:hAnsi="BatangChe"/>
        </w:rPr>
        <w:t>6.89%</w:t>
      </w:r>
      <w:r>
        <w:rPr>
          <w:rFonts w:hint="eastAsia" w:ascii="BatangChe" w:hAnsi="BatangChe"/>
        </w:rPr>
        <w:t>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2. </w:t>
      </w:r>
      <w:r>
        <w:rPr>
          <w:rFonts w:hint="eastAsia" w:ascii="BatangChe" w:hAnsi="BatangChe"/>
        </w:rPr>
        <w:t>限建区：渭河、韦河、漆水河等河道堤外</w:t>
      </w:r>
      <w:r>
        <w:rPr>
          <w:rFonts w:ascii="BatangChe" w:hAnsi="BatangChe"/>
        </w:rPr>
        <w:t>100</w:t>
      </w:r>
      <w:r>
        <w:rPr>
          <w:rFonts w:hint="eastAsia" w:ascii="BatangChe" w:hAnsi="BatangChe"/>
        </w:rPr>
        <w:t>米范围、永久性基本农田保护区、重大基础设施保护区等，面积约</w:t>
      </w:r>
      <w:r>
        <w:rPr>
          <w:rFonts w:ascii="BatangChe" w:hAnsi="BatangChe"/>
        </w:rPr>
        <w:t>21.19</w:t>
      </w:r>
      <w:r>
        <w:rPr>
          <w:rFonts w:hint="eastAsia" w:ascii="BatangChe" w:hAnsi="BatangChe"/>
        </w:rPr>
        <w:t>平方公里，占总用地的</w:t>
      </w:r>
      <w:r>
        <w:rPr>
          <w:rFonts w:ascii="BatangChe" w:hAnsi="BatangChe"/>
        </w:rPr>
        <w:t>16.02%</w:t>
      </w:r>
      <w:r>
        <w:rPr>
          <w:rFonts w:hint="eastAsia" w:ascii="BatangChe" w:hAnsi="BatangChe"/>
        </w:rPr>
        <w:t>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3. </w:t>
      </w:r>
      <w:r>
        <w:rPr>
          <w:rFonts w:hint="eastAsia" w:ascii="BatangChe" w:hAnsi="BatangChe"/>
        </w:rPr>
        <w:t>适建区：指对自然生态条件影响较小，采用少量工程措施便可以建设的用地。主要为生态敏感性低的用地和未利用土地，面积约</w:t>
      </w:r>
      <w:r>
        <w:rPr>
          <w:rFonts w:ascii="BatangChe" w:hAnsi="BatangChe"/>
        </w:rPr>
        <w:t>79.28</w:t>
      </w:r>
      <w:r>
        <w:rPr>
          <w:rFonts w:hint="eastAsia" w:ascii="BatangChe" w:hAnsi="BatangChe"/>
        </w:rPr>
        <w:t>平方公里，占总用地的</w:t>
      </w:r>
      <w:r>
        <w:rPr>
          <w:rFonts w:ascii="BatangChe" w:hAnsi="BatangChe"/>
        </w:rPr>
        <w:t>59.93%</w:t>
      </w:r>
      <w:r>
        <w:rPr>
          <w:rFonts w:hint="eastAsia" w:ascii="BatangChe" w:hAnsi="BatangChe"/>
        </w:rPr>
        <w:t>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4. </w:t>
      </w:r>
      <w:r>
        <w:rPr>
          <w:rFonts w:hint="eastAsia" w:ascii="BatangChe" w:hAnsi="BatangChe"/>
        </w:rPr>
        <w:t>已建区：现状城区、工业园区、西北农林科技大学等城市现状建成区等用地，面积约</w:t>
      </w:r>
      <w:r>
        <w:rPr>
          <w:rFonts w:ascii="BatangChe" w:hAnsi="BatangChe"/>
        </w:rPr>
        <w:t>22.7</w:t>
      </w:r>
      <w:r>
        <w:rPr>
          <w:rFonts w:hint="eastAsia" w:ascii="BatangChe" w:hAnsi="BatangChe"/>
        </w:rPr>
        <w:t>平方公里，占总用地的</w:t>
      </w:r>
      <w:r>
        <w:rPr>
          <w:rFonts w:ascii="BatangChe" w:hAnsi="BatangChe"/>
        </w:rPr>
        <w:t>17.1%</w:t>
      </w:r>
      <w:r>
        <w:rPr>
          <w:rFonts w:hint="eastAsia" w:ascii="BatangChe" w:hAnsi="BatangChe"/>
        </w:rPr>
        <w:t>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空间发展策略：适度混合、均衡紧凑发展，从城乡统筹发展的角度，城区相对集中，向南、向西方向进行城市空间的有序拓展。向南</w:t>
      </w:r>
      <w:r>
        <w:rPr>
          <w:rFonts w:ascii="BatangChe" w:hAnsi="BatangChe"/>
        </w:rPr>
        <w:t>——</w:t>
      </w:r>
      <w:r>
        <w:rPr>
          <w:rFonts w:hint="eastAsia" w:ascii="BatangChe" w:hAnsi="BatangChe"/>
        </w:rPr>
        <w:t>跨西宝高速向南推进，依托自贸区和工业园区的建设，带动城市南部地区的活力发展，注重特色化建设，形成具有国际竞争力的高品质地区。向西</w:t>
      </w:r>
      <w:r>
        <w:rPr>
          <w:rFonts w:ascii="BatangChe" w:hAnsi="BatangChe"/>
        </w:rPr>
        <w:t>——</w:t>
      </w:r>
      <w:r>
        <w:rPr>
          <w:rFonts w:hint="eastAsia" w:ascii="BatangChe" w:hAnsi="BatangChe"/>
        </w:rPr>
        <w:t>近期将西南地区的自贸区作为发展主要动力，强化杨凌的农业商务、总部基地、农业科研等功能，远期向西北方向组团化拓展，形成城市西部地区的发展轴带。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>2035</w:t>
      </w:r>
      <w:r>
        <w:rPr>
          <w:rFonts w:hint="eastAsia" w:ascii="BatangChe" w:hAnsi="BatangChe"/>
        </w:rPr>
        <w:t>年杨凌全域形成“一心、两轴、两带、多组团”的多中心、组团式、集约型的市域空间布局，外围三个方向沿河流空间共同形成生态屏障，成为保护城市空间、有效引导城市扩张的有效保障，推进城镇体系结构的优化和城乡统筹发展。“一心”为农业国际商务中心，依托自贸区杨凌大道周边地区的建设，集聚商务办公、农业金融服务创新、总部经济等功能</w:t>
      </w:r>
      <w:r>
        <w:rPr>
          <w:rFonts w:ascii="BatangChe" w:hAnsi="BatangChe"/>
        </w:rPr>
        <w:t xml:space="preserve">, </w:t>
      </w:r>
      <w:r>
        <w:rPr>
          <w:rFonts w:hint="eastAsia" w:ascii="BatangChe" w:hAnsi="BatangChe"/>
        </w:rPr>
        <w:t>形成城市新的综合核心</w:t>
      </w:r>
      <w:r>
        <w:rPr>
          <w:rFonts w:ascii="BatangChe" w:hAnsi="BatangChe"/>
        </w:rPr>
        <w:t>,</w:t>
      </w:r>
      <w:r>
        <w:rPr>
          <w:rFonts w:hint="eastAsia" w:ascii="BatangChe" w:hAnsi="BatangChe"/>
        </w:rPr>
        <w:t>并将成为南部地区发展的动力引擎，带动杨凌城乡结构的优化重组。“两轴”为东西方向的两条重要发展轴带：</w:t>
      </w:r>
      <w:r>
        <w:rPr>
          <w:rFonts w:ascii="BatangChe" w:hAnsi="BatangChe"/>
        </w:rPr>
        <w:t xml:space="preserve"> </w:t>
      </w:r>
      <w:r>
        <w:rPr>
          <w:rFonts w:hint="eastAsia" w:ascii="BatangChe" w:hAnsi="BatangChe"/>
        </w:rPr>
        <w:t>“缤纷活力休闲带”依托渭惠渠、康乐路，在城市北部片区集聚城市游憩、生活服务、商业服务、市民活动等功能，注重连贯的开放空间与活力地区塑造，形成未来城市中央的活力空间集聚地；“教育研发创新带”依托自贸区城南路，打造产、学、研、交流、示范一体的农业教育与创新发展轴带，形成城市南部地区的新界面与高品质地区。依据功能与区位，形成城市型组团与乡镇型组团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（四）城乡土地利用规划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按照生态间隔、集约发展的用地布局思路，未来杨凌示范区将形成生产、生活和生态空间的合理布局。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1. </w:t>
      </w:r>
      <w:r>
        <w:rPr>
          <w:rFonts w:hint="eastAsia" w:ascii="BatangChe" w:hAnsi="BatangChe"/>
        </w:rPr>
        <w:t>产业用地主要集中布置在城北、东部以及东南部的工业园区、西宝高速以南的种子产业园以及杨凌大道以西片区。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2. </w:t>
      </w:r>
      <w:r>
        <w:rPr>
          <w:rFonts w:hint="eastAsia" w:ascii="BatangChe" w:hAnsi="BatangChe"/>
        </w:rPr>
        <w:t>生活空间中的重大公共服务设施用地，将主要集中杨凌大道北部政务服务组团、商务区南部、会展中心附近以及杨陵区级行政中心附近，并形成各具特色的城市中心节点。居住用地主要集中在老城区、南部邰城路以东以及杨凌大道北部片区和西南地区</w:t>
      </w:r>
      <w:r>
        <w:rPr>
          <w:rFonts w:ascii="BatangChe" w:hAnsi="BatangChe"/>
        </w:rPr>
        <w:t>,</w:t>
      </w:r>
      <w:r>
        <w:rPr>
          <w:rFonts w:hint="eastAsia" w:ascii="BatangChe" w:hAnsi="BatangChe"/>
        </w:rPr>
        <w:t>形成相对集聚的生活居住区。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 xml:space="preserve">3. </w:t>
      </w:r>
      <w:r>
        <w:rPr>
          <w:rFonts w:hint="eastAsia" w:ascii="BatangChe" w:hAnsi="BatangChe"/>
        </w:rPr>
        <w:t>生态空间包括外围沿渭河、韦河、漆水河周边的生态用地，城市周边的农业地区以及城市公园绿地、大型交通走廊绿化带等，共同构建自然与城市相融的生态区布局。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（五）交通规划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规划“七横六纵”的对外交通网络，加强东西部地区的联系，构建南北交通与区域交通相协调，逐步建立便捷、通达的区域性交通体系。“七横”分别是国道</w:t>
      </w:r>
      <w:r>
        <w:rPr>
          <w:rFonts w:ascii="BatangChe" w:hAnsi="BatangChe"/>
        </w:rPr>
        <w:t>334</w:t>
      </w:r>
      <w:r>
        <w:rPr>
          <w:rFonts w:hint="eastAsia" w:ascii="BatangChe" w:hAnsi="BatangChe"/>
        </w:rPr>
        <w:t>、杨扶路、孟杨路、北干渠路、渭惠路西段、城南路、河堤路；“六纵”分别是西环路、高研路、杨凌大道、后稷路</w:t>
      </w:r>
      <w:r>
        <w:rPr>
          <w:rFonts w:ascii="BatangChe" w:hAnsi="BatangChe"/>
        </w:rPr>
        <w:t>-</w:t>
      </w:r>
      <w:r>
        <w:rPr>
          <w:rFonts w:hint="eastAsia" w:ascii="BatangChe" w:hAnsi="BatangChe"/>
        </w:rPr>
        <w:t>邰城路、新桥北路、杨扶路</w:t>
      </w:r>
      <w:r>
        <w:rPr>
          <w:rFonts w:ascii="BatangChe" w:hAnsi="BatangChe"/>
        </w:rPr>
        <w:t>-</w:t>
      </w:r>
      <w:r>
        <w:rPr>
          <w:rFonts w:hint="eastAsia" w:ascii="BatangChe" w:hAnsi="BatangChe"/>
        </w:rPr>
        <w:t>东环路。在城市西侧打通南北向高速公路，与关中环线进行连接，疏通城市对外交通；在中心城区南侧，打通三条跨渭河通道，加强与周至县便捷的交通联系；对接周至县、武功县的综合交通规划，与周边区域形成良好的交通连接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黑体"/>
        </w:rPr>
      </w:pPr>
      <w:r>
        <w:rPr>
          <w:rFonts w:hint="eastAsia" w:ascii="BatangChe" w:hAnsi="BatangChe" w:eastAsia="黑体"/>
        </w:rPr>
        <w:t>三、声环境质量现状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（一）区域噪声现状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>2017</w:t>
      </w:r>
      <w:r>
        <w:rPr>
          <w:rFonts w:hint="eastAsia" w:ascii="BatangChe" w:hAnsi="BatangChe"/>
        </w:rPr>
        <w:t>年，全区</w:t>
      </w:r>
      <w:r>
        <w:rPr>
          <w:rFonts w:ascii="BatangChe" w:hAnsi="BatangChe"/>
        </w:rPr>
        <w:t>178</w:t>
      </w:r>
      <w:r>
        <w:rPr>
          <w:rFonts w:hint="eastAsia" w:ascii="BatangChe" w:hAnsi="BatangChe"/>
        </w:rPr>
        <w:t>个网格中，除部分特殊区域不能正常监测外，其他区域网格监测结果显示昼间处于良好以上质量等级的占</w:t>
      </w:r>
      <w:r>
        <w:rPr>
          <w:rFonts w:ascii="BatangChe" w:hAnsi="BatangChe"/>
        </w:rPr>
        <w:t>73.7%</w:t>
      </w:r>
      <w:r>
        <w:rPr>
          <w:rFonts w:hint="eastAsia" w:ascii="BatangChe" w:hAnsi="BatangChe"/>
        </w:rPr>
        <w:t>，处于轻度污染等级的占</w:t>
      </w:r>
      <w:r>
        <w:rPr>
          <w:rFonts w:ascii="BatangChe" w:hAnsi="BatangChe"/>
        </w:rPr>
        <w:t>22.9%</w:t>
      </w:r>
      <w:r>
        <w:rPr>
          <w:rFonts w:hint="eastAsia" w:ascii="BatangChe" w:hAnsi="BatangChe"/>
        </w:rPr>
        <w:t>，处于中度污染等级的占</w:t>
      </w:r>
      <w:r>
        <w:rPr>
          <w:rFonts w:ascii="BatangChe" w:hAnsi="BatangChe"/>
        </w:rPr>
        <w:t>3.4%</w:t>
      </w:r>
      <w:r>
        <w:rPr>
          <w:rFonts w:hint="eastAsia" w:ascii="BatangChe" w:hAnsi="BatangChe"/>
        </w:rPr>
        <w:t>。其中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类区昼间区域声环境等效声级为</w:t>
      </w:r>
      <w:r>
        <w:rPr>
          <w:rFonts w:ascii="BatangChe" w:hAnsi="BatangChe"/>
        </w:rPr>
        <w:t>51.7dB</w:t>
      </w:r>
      <w:r>
        <w:rPr>
          <w:rFonts w:hint="eastAsia" w:ascii="BatangChe" w:hAnsi="BatangChe"/>
        </w:rPr>
        <w:t>；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类区昼间区域声环境等效声级为</w:t>
      </w:r>
      <w:r>
        <w:rPr>
          <w:rFonts w:ascii="BatangChe" w:hAnsi="BatangChe"/>
        </w:rPr>
        <w:t xml:space="preserve">54.3dB </w:t>
      </w:r>
      <w:r>
        <w:rPr>
          <w:rFonts w:hint="eastAsia" w:ascii="BatangChe" w:hAnsi="BatangChe"/>
        </w:rPr>
        <w:t>；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类区昼间区域声环境等效声级为</w:t>
      </w:r>
      <w:r>
        <w:rPr>
          <w:rFonts w:ascii="BatangChe" w:hAnsi="BatangChe"/>
        </w:rPr>
        <w:t>54.3dB</w:t>
      </w:r>
      <w:r>
        <w:rPr>
          <w:rFonts w:hint="eastAsia" w:ascii="BatangChe" w:hAnsi="BatangChe"/>
        </w:rPr>
        <w:t>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杨凌示范区区域昼间主要声源为生活噪声和交通噪声。生活噪声占整个声源比例为</w:t>
      </w:r>
      <w:r>
        <w:rPr>
          <w:rFonts w:ascii="BatangChe" w:hAnsi="BatangChe"/>
        </w:rPr>
        <w:t>53.7%</w:t>
      </w:r>
      <w:r>
        <w:rPr>
          <w:rFonts w:hint="eastAsia" w:ascii="BatangChe" w:hAnsi="BatangChe"/>
        </w:rPr>
        <w:t>～</w:t>
      </w:r>
      <w:r>
        <w:rPr>
          <w:rFonts w:ascii="BatangChe" w:hAnsi="BatangChe"/>
        </w:rPr>
        <w:t>59.7%</w:t>
      </w:r>
      <w:r>
        <w:rPr>
          <w:rFonts w:hint="eastAsia" w:ascii="BatangChe" w:hAnsi="BatangChe"/>
        </w:rPr>
        <w:t>；交通噪声源为</w:t>
      </w:r>
      <w:r>
        <w:rPr>
          <w:rFonts w:ascii="BatangChe" w:hAnsi="BatangChe"/>
        </w:rPr>
        <w:t>19.8%</w:t>
      </w:r>
      <w:r>
        <w:rPr>
          <w:rFonts w:hint="eastAsia" w:ascii="BatangChe" w:hAnsi="BatangChe"/>
        </w:rPr>
        <w:t>～</w:t>
      </w:r>
      <w:r>
        <w:rPr>
          <w:rFonts w:ascii="BatangChe" w:hAnsi="BatangChe"/>
        </w:rPr>
        <w:t>25.7%</w:t>
      </w:r>
      <w:r>
        <w:rPr>
          <w:rFonts w:hint="eastAsia" w:ascii="BatangChe" w:hAnsi="BatangChe"/>
        </w:rPr>
        <w:t>；工业噪声源、建筑噪声源分别为</w:t>
      </w:r>
      <w:r>
        <w:rPr>
          <w:rFonts w:ascii="BatangChe" w:hAnsi="BatangChe"/>
        </w:rPr>
        <w:t>6.3%</w:t>
      </w:r>
      <w:r>
        <w:rPr>
          <w:rFonts w:hint="eastAsia" w:ascii="BatangChe" w:hAnsi="BatangChe"/>
        </w:rPr>
        <w:t>～</w:t>
      </w:r>
      <w:r>
        <w:rPr>
          <w:rFonts w:ascii="BatangChe" w:hAnsi="BatangChe"/>
        </w:rPr>
        <w:t>10.1%</w:t>
      </w:r>
      <w:r>
        <w:rPr>
          <w:rFonts w:hint="eastAsia" w:ascii="BatangChe" w:hAnsi="BatangChe"/>
        </w:rPr>
        <w:t>、</w:t>
      </w:r>
      <w:r>
        <w:rPr>
          <w:rFonts w:ascii="BatangChe" w:hAnsi="BatangChe"/>
        </w:rPr>
        <w:t>7.9%</w:t>
      </w:r>
      <w:r>
        <w:rPr>
          <w:rFonts w:hint="eastAsia" w:ascii="BatangChe" w:hAnsi="BatangChe"/>
        </w:rPr>
        <w:t>～</w:t>
      </w:r>
      <w:r>
        <w:rPr>
          <w:rFonts w:ascii="BatangChe" w:hAnsi="BatangChe"/>
        </w:rPr>
        <w:t>14.3%</w:t>
      </w:r>
      <w:r>
        <w:rPr>
          <w:rFonts w:hint="eastAsia" w:ascii="BatangChe" w:hAnsi="BatangChe"/>
        </w:rPr>
        <w:t>。区域声源所占比例大小依次为：生活＞交通＞工业＞建筑。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（二）道路交通噪声现状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>2017</w:t>
      </w:r>
      <w:r>
        <w:rPr>
          <w:rFonts w:hint="eastAsia" w:ascii="BatangChe" w:hAnsi="BatangChe"/>
        </w:rPr>
        <w:t>年，对主城区</w:t>
      </w:r>
      <w:r>
        <w:rPr>
          <w:rFonts w:ascii="BatangChe" w:hAnsi="BatangChe"/>
        </w:rPr>
        <w:t>19</w:t>
      </w:r>
      <w:r>
        <w:rPr>
          <w:rFonts w:hint="eastAsia" w:ascii="BatangChe" w:hAnsi="BatangChe"/>
        </w:rPr>
        <w:t>条道路的</w:t>
      </w:r>
      <w:r>
        <w:rPr>
          <w:rFonts w:ascii="BatangChe" w:hAnsi="BatangChe"/>
        </w:rPr>
        <w:t>30</w:t>
      </w:r>
      <w:r>
        <w:rPr>
          <w:rFonts w:hint="eastAsia" w:ascii="BatangChe" w:hAnsi="BatangChe"/>
        </w:rPr>
        <w:t>个路段的交通噪声进行监测，监测道路长度为</w:t>
      </w:r>
      <w:r>
        <w:rPr>
          <w:rFonts w:ascii="BatangChe" w:hAnsi="BatangChe"/>
        </w:rPr>
        <w:t>94.6</w:t>
      </w:r>
      <w:r>
        <w:rPr>
          <w:rFonts w:hint="eastAsia" w:ascii="BatangChe" w:hAnsi="BatangChe"/>
        </w:rPr>
        <w:t>千米，交通声环境等效声级范围为</w:t>
      </w:r>
      <w:r>
        <w:rPr>
          <w:rFonts w:ascii="BatangChe" w:hAnsi="BatangChe"/>
        </w:rPr>
        <w:t>51.6—72.5dB</w:t>
      </w:r>
      <w:r>
        <w:rPr>
          <w:rFonts w:hint="eastAsia" w:ascii="BatangChe" w:hAnsi="BatangChe"/>
        </w:rPr>
        <w:t>，除部分路段未达到国家声环境质量</w:t>
      </w:r>
      <w:r>
        <w:rPr>
          <w:rFonts w:ascii="BatangChe" w:hAnsi="BatangChe"/>
        </w:rPr>
        <w:t>4a</w:t>
      </w:r>
      <w:r>
        <w:rPr>
          <w:rFonts w:hint="eastAsia" w:ascii="BatangChe" w:hAnsi="BatangChe"/>
        </w:rPr>
        <w:t>类标准，其他大部分路段均符合标准。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（三）功能区噪声现状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ascii="BatangChe" w:hAnsi="BatangChe"/>
        </w:rPr>
        <w:t>2017</w:t>
      </w:r>
      <w:r>
        <w:rPr>
          <w:rFonts w:hint="eastAsia" w:ascii="BatangChe" w:hAnsi="BatangChe"/>
        </w:rPr>
        <w:t>年，杨凌示范区环境监测站在辖区各类功能区共布设监测点位</w:t>
      </w:r>
      <w:r>
        <w:rPr>
          <w:rFonts w:ascii="BatangChe" w:hAnsi="BatangChe"/>
        </w:rPr>
        <w:t>7</w:t>
      </w:r>
      <w:r>
        <w:rPr>
          <w:rFonts w:hint="eastAsia" w:ascii="BatangChe" w:hAnsi="BatangChe"/>
        </w:rPr>
        <w:t>个、开展监测</w:t>
      </w:r>
      <w:r>
        <w:rPr>
          <w:rFonts w:ascii="BatangChe" w:hAnsi="BatangChe"/>
        </w:rPr>
        <w:t>56</w:t>
      </w:r>
      <w:r>
        <w:rPr>
          <w:rFonts w:hint="eastAsia" w:ascii="BatangChe" w:hAnsi="BatangChe"/>
        </w:rPr>
        <w:t>点次，昼间、夜间各</w:t>
      </w:r>
      <w:r>
        <w:rPr>
          <w:rFonts w:ascii="BatangChe" w:hAnsi="BatangChe"/>
        </w:rPr>
        <w:t>28</w:t>
      </w:r>
      <w:r>
        <w:rPr>
          <w:rFonts w:hint="eastAsia" w:ascii="BatangChe" w:hAnsi="BatangChe"/>
        </w:rPr>
        <w:t>点次。其中，各类功能区昼间共达标</w:t>
      </w:r>
      <w:r>
        <w:rPr>
          <w:rFonts w:ascii="BatangChe" w:hAnsi="BatangChe"/>
        </w:rPr>
        <w:t>26</w:t>
      </w:r>
      <w:r>
        <w:rPr>
          <w:rFonts w:hint="eastAsia" w:ascii="BatangChe" w:hAnsi="BatangChe"/>
        </w:rPr>
        <w:t>点次，昼间点次达标率为</w:t>
      </w:r>
      <w:r>
        <w:rPr>
          <w:rFonts w:ascii="BatangChe" w:hAnsi="BatangChe"/>
        </w:rPr>
        <w:t>95.8%</w:t>
      </w:r>
      <w:r>
        <w:rPr>
          <w:rFonts w:hint="eastAsia" w:ascii="BatangChe" w:hAnsi="BatangChe"/>
        </w:rPr>
        <w:t>；夜间共达标</w:t>
      </w:r>
      <w:r>
        <w:rPr>
          <w:rFonts w:ascii="BatangChe" w:hAnsi="BatangChe"/>
        </w:rPr>
        <w:t>26</w:t>
      </w:r>
      <w:r>
        <w:rPr>
          <w:rFonts w:hint="eastAsia" w:ascii="BatangChe" w:hAnsi="BatangChe"/>
        </w:rPr>
        <w:t>点次，夜间点次达标率为</w:t>
      </w:r>
      <w:r>
        <w:rPr>
          <w:rFonts w:ascii="BatangChe" w:hAnsi="BatangChe"/>
        </w:rPr>
        <w:t>95%</w:t>
      </w:r>
      <w:r>
        <w:rPr>
          <w:rFonts w:hint="eastAsia" w:ascii="BatangChe" w:hAnsi="BatangChe"/>
        </w:rPr>
        <w:t>。各功能区间比较：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类区、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类区昼间和夜间全部达标，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类功能区的昼间、夜间均有不同程度超标。总体来看，杨凌示范区各功能区声环境质量昼间达标率高于夜间。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黑体"/>
        </w:rPr>
      </w:pPr>
      <w:r>
        <w:rPr>
          <w:rFonts w:hint="eastAsia" w:ascii="BatangChe" w:hAnsi="BatangChe" w:eastAsia="黑体"/>
        </w:rPr>
        <w:t>四、区划结果与原有区划比对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（一）区划范围不同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原有方案的区划范围为建成规划区，北至孟杨路，南到渭河，西至规划西环路，东到城乡规划东界，总面积</w:t>
      </w:r>
      <w:r>
        <w:rPr>
          <w:rFonts w:ascii="BatangChe" w:hAnsi="BatangChe"/>
        </w:rPr>
        <w:t>81.50</w:t>
      </w:r>
      <w:r>
        <w:rPr>
          <w:rFonts w:hint="eastAsia" w:ascii="BatangChe" w:hAnsi="BatangChe"/>
        </w:rPr>
        <w:t>平方公里。本次区划范围为杨凌示范区全域覆盖，总面积</w:t>
      </w:r>
      <w:r>
        <w:rPr>
          <w:rFonts w:ascii="BatangChe" w:hAnsi="BatangChe"/>
        </w:rPr>
        <w:t>135</w:t>
      </w:r>
      <w:r>
        <w:rPr>
          <w:rFonts w:hint="eastAsia" w:ascii="BatangChe" w:hAnsi="BatangChe"/>
        </w:rPr>
        <w:t>平方公里。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（二）时效不同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原有方案计划时效为</w:t>
      </w:r>
      <w:r>
        <w:rPr>
          <w:rFonts w:ascii="BatangChe" w:hAnsi="BatangChe"/>
        </w:rPr>
        <w:t>2012-2020</w:t>
      </w:r>
      <w:r>
        <w:rPr>
          <w:rFonts w:hint="eastAsia" w:ascii="BatangChe" w:hAnsi="BatangChe"/>
        </w:rPr>
        <w:t>年，有效期为</w:t>
      </w:r>
      <w:r>
        <w:rPr>
          <w:rFonts w:ascii="BatangChe" w:hAnsi="BatangChe"/>
        </w:rPr>
        <w:t>8</w:t>
      </w:r>
      <w:r>
        <w:rPr>
          <w:rFonts w:hint="eastAsia" w:ascii="BatangChe" w:hAnsi="BatangChe"/>
        </w:rPr>
        <w:t>年。本次依据《声环境功能区划分技术规范》（</w:t>
      </w:r>
      <w:r>
        <w:rPr>
          <w:rFonts w:ascii="BatangChe" w:hAnsi="BatangChe"/>
        </w:rPr>
        <w:t>GB/T15190-2014</w:t>
      </w:r>
      <w:r>
        <w:rPr>
          <w:rFonts w:hint="eastAsia" w:ascii="BatangChe" w:hAnsi="BatangChe"/>
        </w:rPr>
        <w:t>）中的新规定，区划方案有效期不得超过</w:t>
      </w:r>
      <w:r>
        <w:rPr>
          <w:rFonts w:ascii="BatangChe" w:hAnsi="BatangChe"/>
        </w:rPr>
        <w:t>5</w:t>
      </w:r>
      <w:r>
        <w:rPr>
          <w:rFonts w:hint="eastAsia" w:ascii="BatangChe" w:hAnsi="BatangChe"/>
        </w:rPr>
        <w:t>年，因此时效定为</w:t>
      </w:r>
      <w:r>
        <w:rPr>
          <w:rFonts w:ascii="BatangChe" w:hAnsi="BatangChe"/>
        </w:rPr>
        <w:t>2019-2023</w:t>
      </w:r>
      <w:r>
        <w:rPr>
          <w:rFonts w:hint="eastAsia" w:ascii="BatangChe" w:hAnsi="BatangChe"/>
        </w:rPr>
        <w:t>年。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（三）划定依据不同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首次划分的主要依据为《城市区域环境噪声适用区划技术规范》（</w:t>
      </w:r>
      <w:r>
        <w:rPr>
          <w:rFonts w:ascii="BatangChe" w:hAnsi="BatangChe"/>
        </w:rPr>
        <w:t>GB/T15190—94</w:t>
      </w:r>
      <w:r>
        <w:rPr>
          <w:rFonts w:hint="eastAsia" w:ascii="BatangChe" w:hAnsi="BatangChe"/>
        </w:rPr>
        <w:t>）及</w:t>
      </w:r>
      <w:r>
        <w:rPr>
          <w:rFonts w:ascii="BatangChe" w:hAnsi="BatangChe"/>
        </w:rPr>
        <w:t>2010</w:t>
      </w:r>
      <w:r>
        <w:rPr>
          <w:rFonts w:hint="eastAsia" w:ascii="BatangChe" w:hAnsi="BatangChe"/>
        </w:rPr>
        <w:t>年版《杨凌城区总体规划》（</w:t>
      </w:r>
      <w:r>
        <w:rPr>
          <w:rFonts w:ascii="BatangChe" w:hAnsi="BatangChe"/>
        </w:rPr>
        <w:t>2010</w:t>
      </w:r>
      <w:r>
        <w:rPr>
          <w:rFonts w:hint="eastAsia" w:ascii="BatangChe" w:hAnsi="BatangChe"/>
        </w:rPr>
        <w:t>～</w:t>
      </w:r>
      <w:r>
        <w:rPr>
          <w:rFonts w:ascii="BatangChe" w:hAnsi="BatangChe"/>
        </w:rPr>
        <w:t>2020</w:t>
      </w:r>
      <w:r>
        <w:rPr>
          <w:rFonts w:hint="eastAsia" w:ascii="BatangChe" w:hAnsi="BatangChe"/>
        </w:rPr>
        <w:t>），本次是根据《声环境功能区划分技术规范》（</w:t>
      </w:r>
      <w:r>
        <w:rPr>
          <w:rFonts w:ascii="BatangChe" w:hAnsi="BatangChe"/>
        </w:rPr>
        <w:t>GB/T15190-2014</w:t>
      </w:r>
      <w:r>
        <w:rPr>
          <w:rFonts w:hint="eastAsia" w:ascii="BatangChe" w:hAnsi="BatangChe"/>
        </w:rPr>
        <w:t>），结合《杨凌城乡总体规划修编（</w:t>
      </w:r>
      <w:r>
        <w:rPr>
          <w:rFonts w:ascii="BatangChe" w:hAnsi="BatangChe"/>
        </w:rPr>
        <w:t>2017-2035</w:t>
      </w:r>
      <w:r>
        <w:rPr>
          <w:rFonts w:hint="eastAsia" w:ascii="BatangChe" w:hAnsi="BatangChe"/>
        </w:rPr>
        <w:t>）》和用地开发现状进行制定。</w:t>
      </w:r>
    </w:p>
    <w:p>
      <w:pPr>
        <w:snapToGrid w:val="0"/>
        <w:spacing w:line="348" w:lineRule="auto"/>
        <w:ind w:firstLine="632" w:firstLineChars="200"/>
        <w:rPr>
          <w:rFonts w:ascii="BatangChe" w:hAnsi="BatangChe" w:eastAsia="楷体_GB2312"/>
        </w:rPr>
      </w:pPr>
      <w:r>
        <w:rPr>
          <w:rFonts w:hint="eastAsia" w:ascii="BatangChe" w:hAnsi="BatangChe" w:eastAsia="楷体_GB2312"/>
        </w:rPr>
        <w:t>（四）各类区域范围均有调整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相较于首次区划方案，本次划分的更为细致。首次区划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类区有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个片区，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类区有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个片区，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类区有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各片区，</w:t>
      </w:r>
      <w:r>
        <w:rPr>
          <w:rFonts w:ascii="BatangChe" w:hAnsi="BatangChe"/>
        </w:rPr>
        <w:t>4a</w:t>
      </w:r>
      <w:r>
        <w:rPr>
          <w:rFonts w:hint="eastAsia" w:ascii="BatangChe" w:hAnsi="BatangChe"/>
        </w:rPr>
        <w:t>类道路</w:t>
      </w:r>
      <w:r>
        <w:rPr>
          <w:rFonts w:ascii="BatangChe" w:hAnsi="BatangChe"/>
        </w:rPr>
        <w:t>23</w:t>
      </w:r>
      <w:r>
        <w:rPr>
          <w:rFonts w:hint="eastAsia" w:ascii="BatangChe" w:hAnsi="BatangChe"/>
        </w:rPr>
        <w:t>条，</w:t>
      </w:r>
      <w:r>
        <w:rPr>
          <w:rFonts w:ascii="BatangChe" w:hAnsi="BatangChe"/>
        </w:rPr>
        <w:t>4b</w:t>
      </w:r>
      <w:r>
        <w:rPr>
          <w:rFonts w:hint="eastAsia" w:ascii="BatangChe" w:hAnsi="BatangChe"/>
        </w:rPr>
        <w:t>类为陇海铁路和西宝高铁及两侧区域；本次区划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类区增加到</w:t>
      </w:r>
      <w:r>
        <w:rPr>
          <w:rFonts w:ascii="BatangChe" w:hAnsi="BatangChe"/>
        </w:rPr>
        <w:t>4</w:t>
      </w:r>
      <w:r>
        <w:rPr>
          <w:rFonts w:hint="eastAsia" w:ascii="BatangChe" w:hAnsi="BatangChe"/>
        </w:rPr>
        <w:t>个片区，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类区增加到</w:t>
      </w:r>
      <w:r>
        <w:rPr>
          <w:rFonts w:ascii="BatangChe" w:hAnsi="BatangChe"/>
        </w:rPr>
        <w:t>5</w:t>
      </w:r>
      <w:r>
        <w:rPr>
          <w:rFonts w:hint="eastAsia" w:ascii="BatangChe" w:hAnsi="BatangChe"/>
        </w:rPr>
        <w:t>个片区，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类区增加到</w:t>
      </w:r>
      <w:r>
        <w:rPr>
          <w:rFonts w:ascii="BatangChe" w:hAnsi="BatangChe"/>
        </w:rPr>
        <w:t>5</w:t>
      </w:r>
      <w:r>
        <w:rPr>
          <w:rFonts w:hint="eastAsia" w:ascii="BatangChe" w:hAnsi="BatangChe"/>
        </w:rPr>
        <w:t>个片区，</w:t>
      </w:r>
      <w:r>
        <w:rPr>
          <w:rFonts w:ascii="BatangChe" w:hAnsi="BatangChe"/>
        </w:rPr>
        <w:t>4a</w:t>
      </w:r>
      <w:r>
        <w:rPr>
          <w:rFonts w:hint="eastAsia" w:ascii="BatangChe" w:hAnsi="BatangChe"/>
        </w:rPr>
        <w:t>类道路</w:t>
      </w:r>
      <w:r>
        <w:rPr>
          <w:rFonts w:ascii="BatangChe" w:hAnsi="BatangChe"/>
        </w:rPr>
        <w:t>50</w:t>
      </w:r>
      <w:r>
        <w:rPr>
          <w:rFonts w:hint="eastAsia" w:ascii="BatangChe" w:hAnsi="BatangChe"/>
        </w:rPr>
        <w:t>条，</w:t>
      </w:r>
      <w:r>
        <w:rPr>
          <w:rFonts w:ascii="BatangChe" w:hAnsi="BatangChe"/>
        </w:rPr>
        <w:t>4b</w:t>
      </w:r>
      <w:r>
        <w:rPr>
          <w:rFonts w:hint="eastAsia" w:ascii="BatangChe" w:hAnsi="BatangChe"/>
        </w:rPr>
        <w:t>类基本无变化。</w:t>
      </w:r>
    </w:p>
    <w:p>
      <w:pPr>
        <w:snapToGrid w:val="0"/>
        <w:spacing w:line="348" w:lineRule="auto"/>
        <w:ind w:firstLine="632" w:firstLineChars="200"/>
        <w:rPr>
          <w:rFonts w:ascii="BatangChe" w:eastAsia="BatangChe"/>
        </w:rPr>
      </w:pPr>
      <w:r>
        <w:rPr>
          <w:rFonts w:hint="eastAsia" w:ascii="BatangChe" w:hAnsi="BatangChe"/>
        </w:rPr>
        <w:t>首次区划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23.63</w:t>
      </w:r>
      <w:r>
        <w:rPr>
          <w:rFonts w:hint="eastAsia" w:ascii="BatangChe" w:hAnsi="BatangChe"/>
        </w:rPr>
        <w:t>平方千米，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24.76</w:t>
      </w:r>
      <w:r>
        <w:rPr>
          <w:rFonts w:hint="eastAsia" w:ascii="BatangChe" w:hAnsi="BatangChe"/>
        </w:rPr>
        <w:t>平方千米，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19.46</w:t>
      </w:r>
      <w:r>
        <w:rPr>
          <w:rFonts w:hint="eastAsia" w:ascii="BatangChe" w:hAnsi="BatangChe"/>
        </w:rPr>
        <w:t>平方千米，</w:t>
      </w:r>
      <w:r>
        <w:rPr>
          <w:rFonts w:ascii="BatangChe" w:hAnsi="BatangChe"/>
        </w:rPr>
        <w:t xml:space="preserve"> 4a</w:t>
      </w:r>
      <w:r>
        <w:rPr>
          <w:rFonts w:hint="eastAsia" w:ascii="BatangChe" w:hAnsi="BatangChe"/>
        </w:rPr>
        <w:t>类涉及道路总里程</w:t>
      </w:r>
      <w:r>
        <w:rPr>
          <w:rFonts w:ascii="BatangChe" w:hAnsi="BatangChe"/>
        </w:rPr>
        <w:t>163.0</w:t>
      </w:r>
      <w:r>
        <w:rPr>
          <w:rFonts w:hint="eastAsia" w:ascii="BatangChe" w:hAnsi="BatangChe"/>
        </w:rPr>
        <w:t>千米，</w:t>
      </w:r>
      <w:r>
        <w:rPr>
          <w:rFonts w:ascii="BatangChe" w:hAnsi="BatangChe"/>
        </w:rPr>
        <w:t>4b</w:t>
      </w:r>
      <w:r>
        <w:rPr>
          <w:rFonts w:hint="eastAsia" w:ascii="BatangChe" w:hAnsi="BatangChe"/>
        </w:rPr>
        <w:t>类两条铁路总里程</w:t>
      </w:r>
      <w:r>
        <w:rPr>
          <w:rFonts w:ascii="BatangChe" w:hAnsi="BatangChe"/>
        </w:rPr>
        <w:t>23.5</w:t>
      </w:r>
      <w:r>
        <w:rPr>
          <w:rFonts w:hint="eastAsia" w:ascii="BatangChe" w:hAnsi="BatangChe"/>
        </w:rPr>
        <w:t>千米；本次划分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93.1</w:t>
      </w:r>
      <w:r>
        <w:rPr>
          <w:rFonts w:hint="eastAsia" w:ascii="BatangChe" w:hAnsi="BatangChe"/>
        </w:rPr>
        <w:t>平方千米，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8.1</w:t>
      </w:r>
      <w:r>
        <w:rPr>
          <w:rFonts w:hint="eastAsia" w:ascii="BatangChe" w:hAnsi="BatangChe"/>
        </w:rPr>
        <w:t>平方千米，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类区总面积</w:t>
      </w:r>
      <w:r>
        <w:rPr>
          <w:rFonts w:ascii="BatangChe" w:hAnsi="BatangChe"/>
        </w:rPr>
        <w:t>21.7</w:t>
      </w:r>
      <w:r>
        <w:rPr>
          <w:rFonts w:hint="eastAsia" w:ascii="BatangChe" w:hAnsi="BatangChe"/>
        </w:rPr>
        <w:t>平方千米，</w:t>
      </w:r>
      <w:r>
        <w:rPr>
          <w:rFonts w:ascii="BatangChe" w:hAnsi="BatangChe"/>
        </w:rPr>
        <w:t>4a</w:t>
      </w:r>
      <w:r>
        <w:rPr>
          <w:rFonts w:hint="eastAsia" w:ascii="BatangChe" w:hAnsi="BatangChe"/>
        </w:rPr>
        <w:t>类涉及道路总里程</w:t>
      </w:r>
      <w:r>
        <w:rPr>
          <w:rFonts w:ascii="BatangChe" w:hAnsi="BatangChe"/>
        </w:rPr>
        <w:t>261.3</w:t>
      </w:r>
      <w:r>
        <w:rPr>
          <w:rFonts w:hint="eastAsia" w:ascii="BatangChe" w:hAnsi="BatangChe"/>
        </w:rPr>
        <w:t>千米，</w:t>
      </w:r>
      <w:r>
        <w:rPr>
          <w:rFonts w:ascii="BatangChe" w:hAnsi="BatangChe"/>
        </w:rPr>
        <w:t>4b</w:t>
      </w:r>
      <w:r>
        <w:rPr>
          <w:rFonts w:hint="eastAsia" w:ascii="BatangChe" w:hAnsi="BatangChe"/>
        </w:rPr>
        <w:t>类两条铁路总里程</w:t>
      </w:r>
      <w:r>
        <w:rPr>
          <w:rFonts w:ascii="BatangChe" w:hAnsi="BatangChe"/>
        </w:rPr>
        <w:t>23.5</w:t>
      </w:r>
      <w:r>
        <w:rPr>
          <w:rFonts w:hint="eastAsia" w:ascii="BatangChe" w:hAnsi="BatangChe"/>
        </w:rPr>
        <w:t>千米。其中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类区变动较大，新增的“农业技术示范片区”和“滨水休闲区”面积</w:t>
      </w:r>
      <w:r>
        <w:rPr>
          <w:rFonts w:ascii="BatangChe" w:hAnsi="BatangChe"/>
        </w:rPr>
        <w:t>62.6</w:t>
      </w:r>
      <w:r>
        <w:rPr>
          <w:rFonts w:hint="eastAsia" w:ascii="BatangChe" w:hAnsi="BatangChe"/>
        </w:rPr>
        <w:t>平方千米，在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类区占比</w:t>
      </w:r>
      <w:r>
        <w:rPr>
          <w:rFonts w:ascii="BatangChe" w:hAnsi="BatangChe"/>
        </w:rPr>
        <w:t>67.2%</w:t>
      </w:r>
      <w:r>
        <w:rPr>
          <w:rFonts w:hint="eastAsia" w:ascii="BatangChe" w:hAnsi="BatangChe"/>
        </w:rPr>
        <w:t>；</w:t>
      </w:r>
      <w:r>
        <w:rPr>
          <w:rFonts w:ascii="BatangChe" w:hAnsi="BatangChe"/>
        </w:rPr>
        <w:t>2</w:t>
      </w:r>
      <w:r>
        <w:rPr>
          <w:rFonts w:hint="eastAsia" w:ascii="BatangChe" w:hAnsi="BatangChe"/>
        </w:rPr>
        <w:t>类区的变动主要体现在取消了城区西侧的发展备用区，根据规划用地类别，大部分区域并入</w:t>
      </w:r>
      <w:r>
        <w:rPr>
          <w:rFonts w:ascii="BatangChe" w:hAnsi="BatangChe"/>
        </w:rPr>
        <w:t>1</w:t>
      </w:r>
      <w:r>
        <w:rPr>
          <w:rFonts w:hint="eastAsia" w:ascii="BatangChe" w:hAnsi="BatangChe"/>
        </w:rPr>
        <w:t>类区和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类区；</w:t>
      </w:r>
      <w:r>
        <w:rPr>
          <w:rFonts w:ascii="BatangChe" w:hAnsi="BatangChe"/>
        </w:rPr>
        <w:t>3</w:t>
      </w:r>
      <w:r>
        <w:rPr>
          <w:rFonts w:hint="eastAsia" w:ascii="BatangChe" w:hAnsi="BatangChe"/>
        </w:rPr>
        <w:t>类区变动较小，主要是在原有区划范围的基础上，结合用地现状和近期规划，小幅度扩张调整，另外增加种子产业园片区；</w:t>
      </w:r>
      <w:r>
        <w:rPr>
          <w:rFonts w:ascii="BatangChe" w:hAnsi="BatangChe"/>
        </w:rPr>
        <w:t>4a</w:t>
      </w:r>
      <w:r>
        <w:rPr>
          <w:rFonts w:hint="eastAsia" w:ascii="BatangChe" w:hAnsi="BatangChe"/>
        </w:rPr>
        <w:t>类新增城市支路和村镇主干路，同时增加近期规划的道路。</w:t>
      </w:r>
    </w:p>
    <w:p>
      <w:pPr>
        <w:snapToGrid w:val="0"/>
        <w:spacing w:line="360" w:lineRule="auto"/>
        <w:ind w:firstLine="632" w:firstLineChars="200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cols w:space="720" w:num="1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rFonts w:ascii="宋体"/>
        <w:color w:val="000000"/>
        <w:sz w:val="28"/>
        <w:szCs w:val="28"/>
      </w:rPr>
    </w:pPr>
    <w:r>
      <w:rPr>
        <w:rFonts w:ascii="宋体" w:hAnsi="宋体"/>
        <w:color w:val="000000"/>
        <w:sz w:val="28"/>
        <w:szCs w:val="28"/>
      </w:rPr>
      <w:t>—</w:t>
    </w:r>
    <w:r>
      <w:rPr>
        <w:rStyle w:val="5"/>
        <w:rFonts w:ascii="宋体" w:hAnsi="宋体"/>
        <w:color w:val="000000"/>
        <w:sz w:val="28"/>
        <w:szCs w:val="28"/>
      </w:rPr>
      <w:fldChar w:fldCharType="begin"/>
    </w:r>
    <w:r>
      <w:rPr>
        <w:rStyle w:val="5"/>
        <w:rFonts w:ascii="宋体" w:hAnsi="宋体"/>
        <w:color w:val="000000"/>
        <w:sz w:val="28"/>
        <w:szCs w:val="28"/>
      </w:rPr>
      <w:instrText xml:space="preserve">PAGE  </w:instrText>
    </w:r>
    <w:r>
      <w:rPr>
        <w:rStyle w:val="5"/>
        <w:rFonts w:ascii="宋体" w:hAnsi="宋体"/>
        <w:color w:val="000000"/>
        <w:sz w:val="28"/>
        <w:szCs w:val="28"/>
      </w:rPr>
      <w:fldChar w:fldCharType="separate"/>
    </w:r>
    <w:r>
      <w:rPr>
        <w:rStyle w:val="5"/>
        <w:rFonts w:ascii="宋体" w:hAnsi="宋体"/>
        <w:color w:val="000000"/>
        <w:sz w:val="28"/>
        <w:szCs w:val="28"/>
      </w:rPr>
      <w:t>1</w:t>
    </w:r>
    <w:r>
      <w:rPr>
        <w:rStyle w:val="5"/>
        <w:rFonts w:ascii="宋体" w:hAnsi="宋体"/>
        <w:color w:val="000000"/>
        <w:sz w:val="28"/>
        <w:szCs w:val="28"/>
      </w:rPr>
      <w:fldChar w:fldCharType="end"/>
    </w:r>
    <w:r>
      <w:rPr>
        <w:rFonts w:ascii="宋体" w:hAnsi="宋体"/>
        <w:color w:val="000000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A4300"/>
    <w:rsid w:val="5E6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2019-08-05T03:46:00Z</dcterms:created>
  <dc:creator>L</dc:creator>
  <cp:lastModifiedBy>L</cp:lastModifiedBy>
  <dcterms:modified xsi:type="dcterms:W3CDTF">2019-08-05T03:46:33Z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