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BatangChe" w:hAnsi="BatangChe" w:eastAsia="黑体"/>
          <w:bCs/>
          <w:sz w:val="32"/>
          <w:szCs w:val="32"/>
        </w:rPr>
      </w:pPr>
      <w:r>
        <w:rPr>
          <w:rFonts w:hint="eastAsia" w:ascii="BatangChe" w:hAnsi="BatangChe" w:eastAsia="黑体"/>
          <w:bCs/>
          <w:sz w:val="32"/>
          <w:szCs w:val="32"/>
        </w:rPr>
        <w:t>附件2</w:t>
      </w:r>
    </w:p>
    <w:p>
      <w:pPr>
        <w:snapToGrid w:val="0"/>
        <w:jc w:val="center"/>
        <w:rPr>
          <w:rFonts w:hint="eastAsia" w:ascii="BatangChe" w:hAnsi="BatangChe" w:eastAsia="方正小标宋简体" w:cs="仿宋"/>
          <w:sz w:val="44"/>
          <w:szCs w:val="44"/>
          <w:lang w:bidi="ar"/>
        </w:rPr>
      </w:pPr>
      <w:bookmarkStart w:id="0" w:name="_GoBack"/>
      <w:r>
        <w:rPr>
          <w:rFonts w:hint="eastAsia" w:ascii="BatangChe" w:hAnsi="BatangChe" w:eastAsia="方正小标宋简体" w:cs="仿宋"/>
          <w:sz w:val="44"/>
          <w:szCs w:val="44"/>
          <w:lang w:bidi="ar"/>
        </w:rPr>
        <w:t>杨凌示范区工程建设项目审批制度改革任务分解表</w:t>
      </w:r>
    </w:p>
    <w:bookmarkEnd w:id="0"/>
    <w:p>
      <w:pPr>
        <w:spacing w:line="240" w:lineRule="exact"/>
        <w:rPr>
          <w:rFonts w:hint="eastAsia" w:ascii="BatangChe" w:hAnsi="BatangChe" w:cs="仿宋"/>
          <w:sz w:val="44"/>
          <w:szCs w:val="44"/>
          <w:lang w:bidi="ar"/>
        </w:rPr>
      </w:pPr>
    </w:p>
    <w:tbl>
      <w:tblPr>
        <w:tblStyle w:val="4"/>
        <w:tblW w:w="13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03"/>
        <w:gridCol w:w="1474"/>
        <w:gridCol w:w="6637"/>
        <w:gridCol w:w="280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850" w:type="dxa"/>
            <w:noWrap w:val="0"/>
            <w:vAlign w:val="center"/>
          </w:tcPr>
          <w:p>
            <w:pPr>
              <w:snapToGrid w:val="0"/>
              <w:jc w:val="center"/>
              <w:rPr>
                <w:rFonts w:hint="eastAsia" w:ascii="BatangChe" w:hAnsi="BatangChe" w:eastAsia="黑体" w:cs="仿宋"/>
                <w:sz w:val="24"/>
                <w:lang w:bidi="ar"/>
              </w:rPr>
            </w:pPr>
            <w:r>
              <w:rPr>
                <w:rFonts w:hint="eastAsia" w:ascii="BatangChe" w:hAnsi="BatangChe" w:eastAsia="黑体" w:cs="仿宋"/>
                <w:sz w:val="24"/>
                <w:lang w:bidi="ar"/>
              </w:rPr>
              <w:t>序号</w:t>
            </w:r>
          </w:p>
        </w:tc>
        <w:tc>
          <w:tcPr>
            <w:tcW w:w="8714" w:type="dxa"/>
            <w:gridSpan w:val="3"/>
            <w:noWrap w:val="0"/>
            <w:vAlign w:val="center"/>
          </w:tcPr>
          <w:p>
            <w:pPr>
              <w:snapToGrid w:val="0"/>
              <w:jc w:val="center"/>
              <w:rPr>
                <w:rFonts w:hint="eastAsia" w:ascii="BatangChe" w:hAnsi="BatangChe" w:eastAsia="黑体" w:cs="仿宋"/>
                <w:sz w:val="24"/>
                <w:lang w:bidi="ar"/>
              </w:rPr>
            </w:pPr>
            <w:r>
              <w:rPr>
                <w:rFonts w:hint="eastAsia" w:ascii="BatangChe" w:hAnsi="BatangChe" w:eastAsia="黑体" w:cs="仿宋"/>
                <w:sz w:val="24"/>
                <w:lang w:bidi="ar"/>
              </w:rPr>
              <w:t>工作任务</w:t>
            </w:r>
          </w:p>
        </w:tc>
        <w:tc>
          <w:tcPr>
            <w:tcW w:w="2805" w:type="dxa"/>
            <w:noWrap w:val="0"/>
            <w:vAlign w:val="center"/>
          </w:tcPr>
          <w:p>
            <w:pPr>
              <w:snapToGrid w:val="0"/>
              <w:jc w:val="center"/>
              <w:rPr>
                <w:rFonts w:hint="eastAsia" w:ascii="BatangChe" w:hAnsi="BatangChe" w:eastAsia="黑体" w:cs="仿宋"/>
                <w:sz w:val="24"/>
                <w:lang w:bidi="ar"/>
              </w:rPr>
            </w:pPr>
            <w:r>
              <w:rPr>
                <w:rFonts w:hint="eastAsia" w:ascii="BatangChe" w:hAnsi="BatangChe" w:eastAsia="黑体" w:cs="仿宋"/>
                <w:sz w:val="24"/>
                <w:lang w:bidi="ar"/>
              </w:rPr>
              <w:t>责任单位</w:t>
            </w:r>
          </w:p>
        </w:tc>
        <w:tc>
          <w:tcPr>
            <w:tcW w:w="1551" w:type="dxa"/>
            <w:noWrap w:val="0"/>
            <w:vAlign w:val="center"/>
          </w:tcPr>
          <w:p>
            <w:pPr>
              <w:snapToGrid w:val="0"/>
              <w:jc w:val="center"/>
              <w:rPr>
                <w:rFonts w:hint="eastAsia" w:ascii="BatangChe" w:hAnsi="BatangChe" w:eastAsia="黑体" w:cs="仿宋"/>
                <w:sz w:val="24"/>
                <w:lang w:bidi="ar"/>
              </w:rPr>
            </w:pPr>
            <w:r>
              <w:rPr>
                <w:rFonts w:hint="eastAsia" w:ascii="BatangChe" w:hAnsi="BatangChe" w:eastAsia="黑体" w:cs="仿宋"/>
                <w:sz w:val="24"/>
                <w:lang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w:t>
            </w:r>
          </w:p>
        </w:tc>
        <w:tc>
          <w:tcPr>
            <w:tcW w:w="603" w:type="dxa"/>
            <w:vMerge w:val="restart"/>
            <w:noWrap w:val="0"/>
            <w:vAlign w:val="center"/>
          </w:tcPr>
          <w:p>
            <w:pPr>
              <w:snapToGrid w:val="0"/>
              <w:jc w:val="center"/>
              <w:rPr>
                <w:rFonts w:hint="eastAsia" w:ascii="BatangChe" w:hAnsi="BatangChe" w:cs="仿宋"/>
                <w:b/>
                <w:sz w:val="24"/>
                <w:lang w:bidi="ar"/>
              </w:rPr>
            </w:pPr>
            <w:r>
              <w:rPr>
                <w:rFonts w:hint="eastAsia" w:ascii="BatangChe" w:hAnsi="BatangChe" w:cs="仿宋"/>
                <w:b/>
                <w:sz w:val="24"/>
                <w:lang w:bidi="ar"/>
              </w:rPr>
              <w:t>组织实施情况</w:t>
            </w: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组织领导</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成立示范区改革工作领导小组，下设专门办公室，负责工程建设项目审批制度改革全面推进工作。</w:t>
            </w:r>
          </w:p>
        </w:tc>
        <w:tc>
          <w:tcPr>
            <w:tcW w:w="2805" w:type="dxa"/>
            <w:vMerge w:val="restart"/>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示范区住建局牵头，各领导小组成员单位配合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领导小组定期召开会议，研究解决工程建设项目审批制度改革推进过程中遇到的重点难点问题。</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确定协调联络人员，建立上下联动机制，坚持每月报送工作进展情况，及时反馈改革推进过程中遇到的问题，确保改革任务按时完成。</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0" w:type="dxa"/>
            <w:noWrap w:val="0"/>
            <w:vAlign w:val="center"/>
          </w:tcPr>
          <w:p>
            <w:pPr>
              <w:snapToGrid w:val="0"/>
              <w:jc w:val="center"/>
              <w:rPr>
                <w:rFonts w:ascii="BatangChe" w:hAnsi="BatangChe" w:eastAsia="仿宋" w:cs="仿宋"/>
                <w:sz w:val="24"/>
                <w:lang w:bidi="ar"/>
              </w:rPr>
            </w:pPr>
            <w:r>
              <w:rPr>
                <w:rFonts w:hint="eastAsia" w:ascii="BatangChe" w:hAnsi="BatangChe" w:eastAsia="仿宋" w:cs="仿宋"/>
                <w:sz w:val="24"/>
                <w:lang w:bidi="ar"/>
              </w:rPr>
              <w:t>2</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沟通联动</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建立改革工作协调推进工作机制，坚持每季度召开一次联席会议，加强统筹协调，确保各部门间协同配合顺畅。</w:t>
            </w:r>
          </w:p>
        </w:tc>
        <w:tc>
          <w:tcPr>
            <w:tcW w:w="2805" w:type="dxa"/>
            <w:vMerge w:val="restart"/>
            <w:noWrap w:val="0"/>
            <w:vAlign w:val="top"/>
          </w:tcPr>
          <w:p>
            <w:pPr>
              <w:snapToGrid w:val="0"/>
              <w:rPr>
                <w:rFonts w:hint="eastAsia" w:ascii="BatangChe" w:hAnsi="BatangChe"/>
                <w:color w:val="000000"/>
                <w:kern w:val="0"/>
                <w:sz w:val="24"/>
              </w:rPr>
            </w:pP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850" w:type="dxa"/>
            <w:noWrap w:val="0"/>
            <w:vAlign w:val="center"/>
          </w:tcPr>
          <w:p>
            <w:pPr>
              <w:snapToGrid w:val="0"/>
              <w:jc w:val="center"/>
              <w:rPr>
                <w:rFonts w:ascii="BatangChe" w:hAnsi="BatangChe" w:eastAsia="仿宋" w:cs="仿宋"/>
                <w:sz w:val="24"/>
                <w:lang w:bidi="ar"/>
              </w:rPr>
            </w:pPr>
            <w:r>
              <w:rPr>
                <w:rFonts w:hint="eastAsia" w:ascii="BatangChe" w:hAnsi="BatangChe" w:eastAsia="仿宋" w:cs="仿宋"/>
                <w:sz w:val="24"/>
                <w:lang w:bidi="ar"/>
              </w:rPr>
              <w:t>3</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宣贯培训</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组织开展工程建设项目审批制度改革政策宣贯和业务培训活动，领导小组成员单位和申请人接受宣贯培训。</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50" w:type="dxa"/>
            <w:noWrap w:val="0"/>
            <w:vAlign w:val="center"/>
          </w:tcPr>
          <w:p>
            <w:pPr>
              <w:snapToGrid w:val="0"/>
              <w:jc w:val="center"/>
              <w:rPr>
                <w:rFonts w:ascii="BatangChe" w:hAnsi="BatangChe" w:eastAsia="仿宋" w:cs="仿宋"/>
                <w:sz w:val="24"/>
                <w:lang w:bidi="ar"/>
              </w:rPr>
            </w:pPr>
            <w:r>
              <w:rPr>
                <w:rFonts w:hint="eastAsia" w:ascii="BatangChe" w:hAnsi="BatangChe" w:eastAsia="仿宋" w:cs="仿宋"/>
                <w:sz w:val="24"/>
                <w:lang w:bidi="ar"/>
              </w:rPr>
              <w:t>4</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宣传报道</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通过报纸、电视、网络等多种形式持续加强宣传报道，引导企业和社会公众充分知晓改革内容，准确把握相关政策，自觉运用改革成果。</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850" w:type="dxa"/>
            <w:vMerge w:val="restart"/>
            <w:noWrap w:val="0"/>
            <w:vAlign w:val="center"/>
          </w:tcPr>
          <w:p>
            <w:pPr>
              <w:snapToGrid w:val="0"/>
              <w:jc w:val="center"/>
              <w:rPr>
                <w:rFonts w:ascii="BatangChe" w:hAnsi="BatangChe" w:eastAsia="仿宋" w:cs="仿宋"/>
                <w:sz w:val="24"/>
                <w:lang w:bidi="ar"/>
              </w:rPr>
            </w:pPr>
            <w:r>
              <w:rPr>
                <w:rFonts w:hint="eastAsia" w:ascii="BatangChe" w:hAnsi="BatangChe" w:eastAsia="仿宋" w:cs="仿宋"/>
                <w:sz w:val="24"/>
                <w:lang w:bidi="ar"/>
              </w:rPr>
              <w:t>5</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方案制订</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制定示范区改革实施方案，并上报省政府，同时抄送省工程建设项目审批制度改革办公室。</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示范区住建局</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参照全省工程建设项目审批制度改革实施方案，研究制定行业工程建设项目审批制度改革实施方案，审批服务事项、审批流程、审批时限符合全省项目审批制度改革总体要求。</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示范区交通局、示范区水务局分别负责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6</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规范审批     服务事项</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审批事项清单，明确各项审批事项的适用范围和前置条件。取消房地产开发条件意见书、建设工程施工合同备案、建筑节能设计审查备案、地质灾害危险性评估备案、水土保持设施验收审批。取消各类保证金、押金、资金到位证明等施工许可前置事项。</w:t>
            </w:r>
          </w:p>
        </w:tc>
        <w:tc>
          <w:tcPr>
            <w:tcW w:w="2805" w:type="dxa"/>
            <w:vMerge w:val="restart"/>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示范区行政审批局牵头，各相关职能部门配合</w:t>
            </w: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7</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b/>
                <w:color w:val="000000"/>
                <w:kern w:val="0"/>
                <w:sz w:val="24"/>
              </w:rPr>
              <w:t>审批环节     同步并行     办理</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制定示范区工程建设项目“多图联审”管理办法。</w:t>
            </w:r>
          </w:p>
        </w:tc>
        <w:tc>
          <w:tcPr>
            <w:tcW w:w="2805" w:type="dxa"/>
            <w:vMerge w:val="continue"/>
            <w:noWrap w:val="0"/>
            <w:vAlign w:val="center"/>
          </w:tcPr>
          <w:p>
            <w:pPr>
              <w:snapToGrid w:val="0"/>
              <w:jc w:val="left"/>
              <w:rPr>
                <w:rFonts w:hint="eastAsia" w:ascii="BatangChe" w:hAnsi="BatangChe"/>
                <w:color w:val="000000"/>
                <w:kern w:val="0"/>
                <w:sz w:val="24"/>
              </w:rPr>
            </w:pP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制定示范区工程建设项目“多评合审”管理办法。</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制定示范区房屋建筑和市政基础设施工程建设项目竣工联合验收管理办法。</w:t>
            </w:r>
          </w:p>
        </w:tc>
        <w:tc>
          <w:tcPr>
            <w:tcW w:w="2805" w:type="dxa"/>
            <w:vMerge w:val="continue"/>
            <w:noWrap w:val="0"/>
            <w:vAlign w:val="center"/>
          </w:tcPr>
          <w:p>
            <w:pPr>
              <w:snapToGrid w:val="0"/>
              <w:rPr>
                <w:rFonts w:hint="eastAsia" w:ascii="BatangChe" w:hAnsi="BatangChe"/>
                <w:color w:val="000000"/>
                <w:kern w:val="0"/>
                <w:sz w:val="24"/>
              </w:rPr>
            </w:pP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制定示范区工程建设项目现场联合踏勘工作制度。</w:t>
            </w:r>
          </w:p>
        </w:tc>
        <w:tc>
          <w:tcPr>
            <w:tcW w:w="2805" w:type="dxa"/>
            <w:vMerge w:val="continue"/>
            <w:noWrap w:val="0"/>
            <w:vAlign w:val="center"/>
          </w:tcPr>
          <w:p>
            <w:pPr>
              <w:snapToGrid w:val="0"/>
              <w:rPr>
                <w:rFonts w:hint="eastAsia" w:ascii="BatangChe" w:hAnsi="BatangChe"/>
                <w:color w:val="000000"/>
                <w:kern w:val="0"/>
                <w:sz w:val="24"/>
              </w:rPr>
            </w:pP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细化合并审批事项办理的具体要求及目录，明确审批主体、办事流程、完成时限等。</w:t>
            </w:r>
          </w:p>
        </w:tc>
        <w:tc>
          <w:tcPr>
            <w:tcW w:w="2805" w:type="dxa"/>
            <w:vMerge w:val="continue"/>
            <w:noWrap w:val="0"/>
            <w:vAlign w:val="center"/>
          </w:tcPr>
          <w:p>
            <w:pPr>
              <w:snapToGrid w:val="0"/>
              <w:rPr>
                <w:rFonts w:hint="eastAsia" w:ascii="BatangChe" w:hAnsi="BatangChe"/>
                <w:color w:val="000000"/>
                <w:kern w:val="0"/>
                <w:sz w:val="24"/>
              </w:rPr>
            </w:pP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8</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转变办理</w:t>
            </w:r>
          </w:p>
          <w:p>
            <w:pPr>
              <w:snapToGrid w:val="0"/>
              <w:jc w:val="center"/>
              <w:rPr>
                <w:rFonts w:hint="eastAsia" w:ascii="BatangChe" w:hAnsi="BatangChe"/>
                <w:b/>
                <w:color w:val="000000"/>
                <w:kern w:val="0"/>
                <w:sz w:val="24"/>
              </w:rPr>
            </w:pPr>
            <w:r>
              <w:rPr>
                <w:rFonts w:hint="eastAsia" w:ascii="BatangChe" w:hAnsi="BatangChe"/>
                <w:b/>
                <w:color w:val="000000"/>
                <w:kern w:val="0"/>
                <w:sz w:val="24"/>
              </w:rPr>
              <w:t>方式</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完善强化项目统一代码管理，推进项目代码应用。全面梳理审批事项调整为审批部门内部协作事项清单，明确内部协作事项的内容、管理方式和征求意见的要求等内容。</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示范区发改局、自然资源和规划局、住建局分别负责，各相关职能部门配合</w:t>
            </w: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9</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ind w:firstLine="117" w:firstLineChars="49"/>
              <w:jc w:val="center"/>
              <w:rPr>
                <w:rFonts w:hint="eastAsia" w:ascii="BatangChe" w:hAnsi="BatangChe"/>
                <w:b/>
                <w:color w:val="000000"/>
                <w:kern w:val="0"/>
                <w:sz w:val="24"/>
              </w:rPr>
            </w:pPr>
            <w:r>
              <w:rPr>
                <w:rFonts w:hint="eastAsia" w:ascii="BatangChe" w:hAnsi="BatangChe"/>
                <w:b/>
                <w:color w:val="000000"/>
                <w:kern w:val="0"/>
                <w:sz w:val="24"/>
              </w:rPr>
              <w:t>优化报装</w:t>
            </w:r>
          </w:p>
          <w:p>
            <w:pPr>
              <w:snapToGrid w:val="0"/>
              <w:ind w:firstLine="117" w:firstLineChars="49"/>
              <w:jc w:val="center"/>
              <w:rPr>
                <w:rFonts w:hint="eastAsia" w:ascii="BatangChe" w:hAnsi="BatangChe"/>
                <w:color w:val="000000"/>
                <w:kern w:val="0"/>
                <w:sz w:val="24"/>
              </w:rPr>
            </w:pPr>
            <w:r>
              <w:rPr>
                <w:rFonts w:hint="eastAsia" w:ascii="BatangChe" w:hAnsi="BatangChe"/>
                <w:b/>
                <w:color w:val="000000"/>
                <w:kern w:val="0"/>
                <w:sz w:val="24"/>
              </w:rPr>
              <w:t>时序</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供水、供电、燃气、热力、排水、通信等项目配套设施报装审批提前到施工许可证核发后可申请办理，在工程施工阶段同步完成相关服务配套设施建设，竣工验收后直接办理接入开通事宜。</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示范区发改局、城管局、水务局分别负责，各相关职能部门配合</w:t>
            </w: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10</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noWrap w:val="0"/>
            <w:vAlign w:val="center"/>
          </w:tcPr>
          <w:p>
            <w:pPr>
              <w:snapToGrid w:val="0"/>
              <w:jc w:val="center"/>
              <w:rPr>
                <w:rFonts w:hint="eastAsia" w:ascii="BatangChe" w:hAnsi="BatangChe"/>
                <w:sz w:val="24"/>
              </w:rPr>
            </w:pPr>
            <w:r>
              <w:rPr>
                <w:rFonts w:hint="eastAsia" w:ascii="BatangChe" w:hAnsi="BatangChe"/>
                <w:b/>
                <w:color w:val="000000"/>
                <w:kern w:val="0"/>
                <w:sz w:val="24"/>
              </w:rPr>
              <w:t>精简审批、核准前置条件</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环境影响评价、节能评价、地震安全性评价等评价事项不作为项目审批或核准条件，地震安全性评价在工程设计前完成即可，其他评价事项在施工许可前完成即可。</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示范区发改局、行政审批局、自然资源和规划局、住建局、生态环境局分别负责</w:t>
            </w: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11</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简化招</w:t>
            </w:r>
          </w:p>
          <w:p>
            <w:pPr>
              <w:snapToGrid w:val="0"/>
              <w:jc w:val="center"/>
              <w:rPr>
                <w:rFonts w:hint="eastAsia" w:ascii="BatangChe" w:hAnsi="BatangChe"/>
                <w:b/>
                <w:color w:val="000000"/>
                <w:kern w:val="0"/>
                <w:sz w:val="24"/>
              </w:rPr>
            </w:pPr>
            <w:r>
              <w:rPr>
                <w:rFonts w:hint="eastAsia" w:ascii="BatangChe" w:hAnsi="BatangChe"/>
                <w:b/>
                <w:color w:val="000000"/>
                <w:kern w:val="0"/>
                <w:sz w:val="24"/>
              </w:rPr>
              <w:t>标投标</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研究制定优化建设项目招投标营商环境的具体措施。</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示范区行政审批局、住建局、公共资源交易中心负责</w:t>
            </w: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12</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分类细化</w:t>
            </w:r>
          </w:p>
          <w:p>
            <w:pPr>
              <w:snapToGrid w:val="0"/>
              <w:jc w:val="center"/>
              <w:rPr>
                <w:rFonts w:hint="eastAsia" w:ascii="BatangChe" w:hAnsi="BatangChe"/>
                <w:b/>
                <w:color w:val="000000"/>
                <w:kern w:val="0"/>
                <w:sz w:val="24"/>
              </w:rPr>
            </w:pPr>
            <w:r>
              <w:rPr>
                <w:rFonts w:hint="eastAsia" w:ascii="BatangChe" w:hAnsi="BatangChe"/>
                <w:b/>
                <w:color w:val="000000"/>
                <w:kern w:val="0"/>
                <w:sz w:val="24"/>
              </w:rPr>
              <w:t>审批流程</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制定政府投资工程、社会投资工程五个类型工程建设项目审批流程图。</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示范区行政审批局、发改局、自然资源局、住建局、城管局负责</w:t>
            </w:r>
          </w:p>
        </w:tc>
        <w:tc>
          <w:tcPr>
            <w:tcW w:w="1551" w:type="dxa"/>
            <w:vMerge w:val="restart"/>
            <w:noWrap w:val="0"/>
            <w:vAlign w:val="center"/>
          </w:tcPr>
          <w:p>
            <w:pPr>
              <w:snapToGrid w:val="0"/>
              <w:jc w:val="center"/>
              <w:rPr>
                <w:rFonts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sz w:val="24"/>
              </w:rPr>
            </w:pPr>
            <w:r>
              <w:rPr>
                <w:rFonts w:hint="eastAsia" w:ascii="BatangChe" w:hAnsi="BatangChe"/>
                <w:color w:val="000000"/>
                <w:kern w:val="0"/>
                <w:sz w:val="24"/>
              </w:rPr>
              <w:t>针对社会投资的中小型工程建设项目审批，对于带方案出让土地的项目，不再对设计方案进行审核，将工程建设许可和施工许可合并为一个阶段。</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示范区自然资源局、住建局负责</w:t>
            </w:r>
          </w:p>
        </w:tc>
        <w:tc>
          <w:tcPr>
            <w:tcW w:w="1551" w:type="dxa"/>
            <w:vMerge w:val="continue"/>
            <w:noWrap w:val="0"/>
            <w:vAlign w:val="top"/>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梳理公布交通、水利工程建设项目审批流程图和审批事项改革意见清单，与全省工程建设项目审批制度改革同步推进实施。</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示范区交通局、水务局负责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13</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推行区</w:t>
            </w:r>
          </w:p>
          <w:p>
            <w:pPr>
              <w:snapToGrid w:val="0"/>
              <w:jc w:val="center"/>
              <w:rPr>
                <w:rFonts w:hint="eastAsia" w:ascii="BatangChe" w:hAnsi="BatangChe"/>
                <w:b/>
                <w:color w:val="000000"/>
                <w:kern w:val="0"/>
                <w:sz w:val="24"/>
              </w:rPr>
            </w:pPr>
            <w:r>
              <w:rPr>
                <w:rFonts w:hint="eastAsia" w:ascii="BatangChe" w:hAnsi="BatangChe"/>
                <w:b/>
                <w:color w:val="000000"/>
                <w:kern w:val="0"/>
                <w:sz w:val="24"/>
              </w:rPr>
              <w:t>域评估</w:t>
            </w:r>
          </w:p>
        </w:tc>
        <w:tc>
          <w:tcPr>
            <w:tcW w:w="6637" w:type="dxa"/>
            <w:noWrap w:val="0"/>
            <w:vAlign w:val="center"/>
          </w:tcPr>
          <w:p>
            <w:pPr>
              <w:snapToGrid w:val="0"/>
              <w:rPr>
                <w:rFonts w:hint="eastAsia" w:ascii="BatangChe" w:hAnsi="BatangChe"/>
                <w:sz w:val="24"/>
              </w:rPr>
            </w:pPr>
            <w:r>
              <w:rPr>
                <w:rFonts w:hint="eastAsia" w:ascii="BatangChe" w:hAnsi="BatangChe"/>
                <w:color w:val="000000"/>
                <w:kern w:val="0"/>
                <w:sz w:val="24"/>
              </w:rPr>
              <w:t>制定《示范区建筑和市政基础设施工程建设项目区域评估评审工作实施细则》。</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示范区住建局</w:t>
            </w: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由发展和改革局、自然资源局、生态环境局、文化和旅游体育局分别组织编制区域评估报告，各自完成一起区域评估案例。区域内工程建设项目共享区域评估结果，加快建设项目生成落地。</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示范区发展改革局、自然资源局、生态环境局、文旅体育局分别负责，杨陵区政府、自贸办、工业园区公司、农科集团配合</w:t>
            </w: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14</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推行告知</w:t>
            </w:r>
          </w:p>
          <w:p>
            <w:pPr>
              <w:snapToGrid w:val="0"/>
              <w:jc w:val="center"/>
              <w:rPr>
                <w:rFonts w:hint="eastAsia" w:ascii="BatangChe" w:hAnsi="BatangChe"/>
                <w:b/>
                <w:color w:val="000000"/>
                <w:kern w:val="0"/>
                <w:sz w:val="24"/>
              </w:rPr>
            </w:pPr>
            <w:r>
              <w:rPr>
                <w:rFonts w:hint="eastAsia" w:ascii="BatangChe" w:hAnsi="BatangChe"/>
                <w:b/>
                <w:color w:val="000000"/>
                <w:kern w:val="0"/>
                <w:sz w:val="24"/>
              </w:rPr>
              <w:t>承诺制审批</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工程建设项目告知承诺制审批实施方案》，明确实行告知承诺制的审批事项清单、具体要求及加强事中事后监管的措施等，申请人按照要求作出书面承诺的，审批部门可以直接作出审批决定，提升审批效率。</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示范区行政审批局牵头，相关职能部门配合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15</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多评合审</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优化各类评估流程，整合项目所涉及各部门评估审核职能，将原串联模式调整为并联模式，实行同步评估、同步审批、同步反馈、控制周期。</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示范区行政审批局牵头，相关职能部门配合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16</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多图联审</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加快推进施工图并联审查，实行施工图文件统一受理、统一审查方式。按照省住建厅“统一标准、整合机构、联合审查、结果互认、共同监管”的要求，对已取得综合图审资格的图审机构出具的审查报告，消防、人防不再单独进行相关技术审查，依据综合图审机构的审查报告进行统一认可。</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示范区住建局牵头，相关职能部门配合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17</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联合踏勘</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对多个部门需要现场踏勘验证的工程建设项目，由建设单位向示范区政务服务中心统一提出申请，行政审批局协调组织相关业务部门及专家集中同步联合进行现场踏勘，由窗口一次性向建设单位反馈意见。</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示范区行政审批局牵头，相关职能部门配合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18</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联合验收</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统一组织住建、城管、生态环境、消防、人防、档案管理等部门联合完成相关竣工专业验收及配套验收、备案。统一竣工验收图纸和验收标准，统一出具验收意见。实行竣工备案一次性即时办理。</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示范区住建局牵头，相关职能部门配合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19</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联合测绘</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并实施工程建设项目竣工验收“联合测绘”实施细则，统一工程建设项目行政审批监管中建筑面积计算规则，明确“联合测绘”的内容、精度、技术标准、成果形式、实施范围、工作流程、资质要求、监管要求等，实行“一次委托、联合测绘、成果共享”。</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示范区自然资源和规划局负责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20</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强制性措施</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实施缺席默认、超时默认、容缺预审、二次退件报告等强制性措施。</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示范区行政审批局牵头，相关职能部门配合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21</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提前介入</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针对不同类型项目性质，分门别类的提供辅导，通过提前介入、上门服务、超前辅导等服务措施，指导建设单位充分做好前期各项准备工作，确保申报材料要件齐备、一次性达到窗口进件的规范要求。</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示范区行政审批局牵头，相关职能部门配合</w:t>
            </w:r>
          </w:p>
        </w:tc>
        <w:tc>
          <w:tcPr>
            <w:tcW w:w="1551" w:type="dxa"/>
            <w:noWrap w:val="0"/>
            <w:vAlign w:val="center"/>
          </w:tcPr>
          <w:p>
            <w:pPr>
              <w:snapToGrid w:val="0"/>
              <w:jc w:val="center"/>
              <w:rPr>
                <w:rFonts w:ascii="BatangChe" w:hAnsi="BatangChe"/>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22</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建立完善</w:t>
            </w:r>
          </w:p>
          <w:p>
            <w:pPr>
              <w:snapToGrid w:val="0"/>
              <w:jc w:val="center"/>
              <w:rPr>
                <w:rFonts w:hint="eastAsia" w:ascii="BatangChe" w:hAnsi="BatangChe"/>
                <w:b/>
                <w:color w:val="000000"/>
                <w:kern w:val="0"/>
                <w:sz w:val="24"/>
              </w:rPr>
            </w:pPr>
            <w:r>
              <w:rPr>
                <w:rFonts w:hint="eastAsia" w:ascii="BatangChe" w:hAnsi="BatangChe"/>
                <w:b/>
                <w:color w:val="000000"/>
                <w:kern w:val="0"/>
                <w:sz w:val="24"/>
              </w:rPr>
              <w:t>工程建设</w:t>
            </w:r>
          </w:p>
          <w:p>
            <w:pPr>
              <w:snapToGrid w:val="0"/>
              <w:jc w:val="center"/>
              <w:rPr>
                <w:rFonts w:hint="eastAsia" w:ascii="BatangChe" w:hAnsi="BatangChe"/>
                <w:b/>
                <w:color w:val="000000"/>
                <w:kern w:val="0"/>
                <w:sz w:val="24"/>
              </w:rPr>
            </w:pPr>
            <w:r>
              <w:rPr>
                <w:rFonts w:hint="eastAsia" w:ascii="BatangChe" w:hAnsi="BatangChe"/>
                <w:b/>
                <w:color w:val="000000"/>
                <w:kern w:val="0"/>
                <w:sz w:val="24"/>
              </w:rPr>
              <w:t>项目审批</w:t>
            </w:r>
          </w:p>
          <w:p>
            <w:pPr>
              <w:snapToGrid w:val="0"/>
              <w:jc w:val="center"/>
              <w:rPr>
                <w:rFonts w:hint="eastAsia" w:ascii="BatangChe" w:hAnsi="BatangChe"/>
                <w:b/>
                <w:color w:val="000000"/>
                <w:kern w:val="0"/>
                <w:sz w:val="24"/>
              </w:rPr>
            </w:pPr>
            <w:r>
              <w:rPr>
                <w:rFonts w:hint="eastAsia" w:ascii="BatangChe" w:hAnsi="BatangChe"/>
                <w:b/>
                <w:color w:val="000000"/>
                <w:kern w:val="0"/>
                <w:sz w:val="24"/>
              </w:rPr>
              <w:t>管理系统</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按照“横向到边、纵向到底”的原则，初步建成工程建设项目审批管理系统，具备“多规合一”业务协同、在线并联审批、统计分析、监督管理等功能。</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示范区政务公开办牵头，各相关职能部门配合</w:t>
            </w:r>
          </w:p>
        </w:tc>
        <w:tc>
          <w:tcPr>
            <w:tcW w:w="1551" w:type="dxa"/>
            <w:noWrap w:val="0"/>
            <w:vAlign w:val="center"/>
          </w:tcPr>
          <w:p>
            <w:pPr>
              <w:snapToGrid w:val="0"/>
              <w:jc w:val="center"/>
              <w:rPr>
                <w:rFonts w:ascii="BatangChe" w:hAnsi="BatangChe"/>
                <w:color w:val="000000"/>
                <w:kern w:val="0"/>
                <w:sz w:val="24"/>
              </w:rPr>
            </w:pPr>
            <w:r>
              <w:rPr>
                <w:rFonts w:hint="eastAsia" w:ascii="BatangChe" w:hAnsi="BatangChe"/>
                <w:color w:val="000000"/>
                <w:kern w:val="0"/>
                <w:sz w:val="24"/>
              </w:rPr>
              <w:t>2019年7月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23</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深入推进</w:t>
            </w:r>
          </w:p>
          <w:p>
            <w:pPr>
              <w:snapToGrid w:val="0"/>
              <w:jc w:val="center"/>
              <w:rPr>
                <w:rFonts w:hint="eastAsia" w:ascii="BatangChe" w:hAnsi="BatangChe"/>
                <w:b/>
                <w:color w:val="000000"/>
                <w:kern w:val="0"/>
                <w:sz w:val="24"/>
              </w:rPr>
            </w:pPr>
            <w:r>
              <w:rPr>
                <w:rFonts w:hint="eastAsia" w:ascii="BatangChe" w:hAnsi="BatangChe"/>
                <w:b/>
                <w:color w:val="000000"/>
                <w:kern w:val="0"/>
                <w:sz w:val="24"/>
              </w:rPr>
              <w:t>“互联网+</w:t>
            </w:r>
          </w:p>
          <w:p>
            <w:pPr>
              <w:snapToGrid w:val="0"/>
              <w:jc w:val="center"/>
              <w:rPr>
                <w:rFonts w:hint="eastAsia" w:ascii="BatangChe" w:hAnsi="BatangChe"/>
                <w:b/>
                <w:color w:val="000000"/>
                <w:kern w:val="0"/>
                <w:sz w:val="24"/>
              </w:rPr>
            </w:pPr>
            <w:r>
              <w:rPr>
                <w:rFonts w:hint="eastAsia" w:ascii="BatangChe" w:hAnsi="BatangChe"/>
                <w:b/>
                <w:color w:val="000000"/>
                <w:kern w:val="0"/>
                <w:sz w:val="24"/>
              </w:rPr>
              <w:t>审批服务”</w:t>
            </w:r>
          </w:p>
        </w:tc>
        <w:tc>
          <w:tcPr>
            <w:tcW w:w="6637" w:type="dxa"/>
            <w:noWrap w:val="0"/>
            <w:vAlign w:val="center"/>
          </w:tcPr>
          <w:p>
            <w:pPr>
              <w:snapToGrid w:val="0"/>
              <w:rPr>
                <w:rFonts w:hint="eastAsia" w:ascii="BatangChe" w:hAnsi="BatangChe"/>
                <w:sz w:val="24"/>
              </w:rPr>
            </w:pPr>
            <w:r>
              <w:rPr>
                <w:rFonts w:hint="eastAsia" w:ascii="BatangChe" w:hAnsi="BatangChe" w:cs="宋体"/>
                <w:color w:val="000000"/>
                <w:kern w:val="0"/>
                <w:sz w:val="24"/>
              </w:rPr>
              <w:t>各阶段涉及的审批事项全部纳入审批管理系统，通过审批管理系统在线监管审批部门的审批行为，对审批环节进行全过程跟踪督办及审批节点控制，杜绝“体外循环”。</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示范区行政审批局，政务公开办牵头，各相关职能部门配合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24</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“一张蓝图”建设</w:t>
            </w:r>
          </w:p>
          <w:p>
            <w:pPr>
              <w:snapToGrid w:val="0"/>
              <w:jc w:val="center"/>
              <w:rPr>
                <w:rFonts w:hint="eastAsia" w:ascii="BatangChe" w:hAnsi="BatangChe" w:eastAsia="仿宋" w:cs="仿宋"/>
                <w:b/>
                <w:sz w:val="24"/>
                <w:lang w:bidi="ar"/>
              </w:rPr>
            </w:pPr>
            <w:r>
              <w:rPr>
                <w:rFonts w:hint="eastAsia" w:ascii="BatangChe" w:hAnsi="BatangChe"/>
                <w:b/>
                <w:color w:val="000000"/>
                <w:kern w:val="0"/>
                <w:sz w:val="24"/>
              </w:rPr>
              <w:t>情况</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全面梳理各类规划基础数据目录，制定推进“多规合一”形成“一张蓝图”工作方案，明确目标任务、分工安排、实施步骤和工作重点，建立经济社会发展规划、城乡规划、土地利用规划、生态环境保护规划等“多规合一”协调机构，将“多规合一”纳入各类规划与空间管控要素，提出形成数据目录、统筹整合各类空间规划的具体要求和时间节点。</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示范区自然资源局牵头，发改局、生态环境局配合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制定项目生成管理办法，统筹协调各部门对工程建设项目提出建设条件以及需要开展的评估事项等要求。</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示范区自然资源局、发改局、住建局负责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25</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“一张蓝图”建设</w:t>
            </w:r>
          </w:p>
          <w:p>
            <w:pPr>
              <w:snapToGrid w:val="0"/>
              <w:jc w:val="center"/>
              <w:rPr>
                <w:rFonts w:hint="eastAsia" w:ascii="BatangChe" w:hAnsi="BatangChe"/>
                <w:b/>
                <w:color w:val="000000"/>
                <w:kern w:val="0"/>
                <w:sz w:val="24"/>
              </w:rPr>
            </w:pPr>
            <w:r>
              <w:rPr>
                <w:rFonts w:hint="eastAsia" w:ascii="BatangChe" w:hAnsi="BatangChe"/>
                <w:b/>
                <w:color w:val="000000"/>
                <w:kern w:val="0"/>
                <w:sz w:val="24"/>
              </w:rPr>
              <w:t>情况</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建立“多规合一”业务协同平台，基本形成“多规合一”的“一张蓝图”，整合空间管控数据，明确生态保护线、永久基本农田、城镇开发边界等控制线，形成管控边界清晰、责任主体明确和管控规则明晰的空间规划图，实现利用工程建设项目审批管理系统的“多规合一”功能策划生成项目。</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示范区自然资源局、政务公开办负责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整合空间图层数据，完成差异图斑分析，消除空间规划矛盾和差异，并制定消除空间规划矛盾和差异的工作计划，提高项目生成效率。</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示范区自然资源局负责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26</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“一个窗口”建设</w:t>
            </w:r>
          </w:p>
          <w:p>
            <w:pPr>
              <w:snapToGrid w:val="0"/>
              <w:jc w:val="center"/>
              <w:rPr>
                <w:rFonts w:hint="eastAsia" w:ascii="BatangChe" w:hAnsi="BatangChe" w:eastAsia="仿宋" w:cs="仿宋"/>
                <w:b/>
                <w:sz w:val="24"/>
                <w:lang w:bidi="ar"/>
              </w:rPr>
            </w:pPr>
            <w:r>
              <w:rPr>
                <w:rFonts w:hint="eastAsia" w:ascii="BatangChe" w:hAnsi="BatangChe"/>
                <w:b/>
                <w:color w:val="000000"/>
                <w:kern w:val="0"/>
                <w:sz w:val="24"/>
              </w:rPr>
              <w:t>情况</w:t>
            </w:r>
          </w:p>
        </w:tc>
        <w:tc>
          <w:tcPr>
            <w:tcW w:w="6637" w:type="dxa"/>
            <w:noWrap w:val="0"/>
            <w:vAlign w:val="center"/>
          </w:tcPr>
          <w:p>
            <w:pPr>
              <w:widowControl/>
              <w:snapToGrid w:val="0"/>
              <w:jc w:val="left"/>
              <w:rPr>
                <w:rFonts w:hint="eastAsia" w:ascii="BatangChe" w:hAnsi="BatangChe"/>
                <w:color w:val="000000"/>
                <w:kern w:val="0"/>
                <w:sz w:val="24"/>
              </w:rPr>
            </w:pPr>
            <w:r>
              <w:rPr>
                <w:rFonts w:hint="eastAsia" w:ascii="BatangChe" w:hAnsi="BatangChe"/>
                <w:color w:val="000000"/>
                <w:kern w:val="0"/>
                <w:sz w:val="24"/>
              </w:rPr>
              <w:t>整合各部门和市政公用单位审批服务业务，设立工程建设项目审批联合服务窗口，建立完成“前台受理、后台审核”机制，由联合审批服务窗口统一收件、出件，实现“一个窗口”服务管理。</w:t>
            </w:r>
          </w:p>
        </w:tc>
        <w:tc>
          <w:tcPr>
            <w:tcW w:w="2805" w:type="dxa"/>
            <w:vMerge w:val="restart"/>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示范区行政审批局牵头，相关职能部门配合</w:t>
            </w: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eastAsia="仿宋" w:cs="仿宋"/>
                <w:b/>
                <w:sz w:val="24"/>
                <w:lang w:bidi="ar"/>
              </w:rPr>
            </w:pP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制定示范区“一窗式”审批管理办法，确保工程建设项目并联审批规范、有序运行。</w:t>
            </w:r>
          </w:p>
        </w:tc>
        <w:tc>
          <w:tcPr>
            <w:tcW w:w="2805" w:type="dxa"/>
            <w:vMerge w:val="continue"/>
            <w:noWrap w:val="0"/>
            <w:vAlign w:val="top"/>
          </w:tcPr>
          <w:p>
            <w:pPr>
              <w:snapToGrid w:val="0"/>
              <w:rPr>
                <w:rFonts w:hint="eastAsia" w:ascii="BatangChe" w:hAnsi="BatangChe"/>
                <w:color w:val="000000"/>
                <w:kern w:val="0"/>
                <w:sz w:val="24"/>
              </w:rPr>
            </w:pPr>
          </w:p>
        </w:tc>
        <w:tc>
          <w:tcPr>
            <w:tcW w:w="1551" w:type="dxa"/>
            <w:vMerge w:val="continue"/>
            <w:noWrap w:val="0"/>
            <w:vAlign w:val="center"/>
          </w:tcPr>
          <w:p>
            <w:pPr>
              <w:snapToGrid w:val="0"/>
              <w:jc w:val="center"/>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27</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“一张表单”建设</w:t>
            </w:r>
          </w:p>
          <w:p>
            <w:pPr>
              <w:snapToGrid w:val="0"/>
              <w:jc w:val="center"/>
              <w:rPr>
                <w:rFonts w:hint="eastAsia" w:ascii="BatangChe" w:hAnsi="BatangChe" w:eastAsia="仿宋" w:cs="仿宋"/>
                <w:b/>
                <w:sz w:val="24"/>
                <w:lang w:bidi="ar"/>
              </w:rPr>
            </w:pPr>
            <w:r>
              <w:rPr>
                <w:rFonts w:hint="eastAsia" w:ascii="BatangChe" w:hAnsi="BatangChe"/>
                <w:b/>
                <w:color w:val="000000"/>
                <w:kern w:val="0"/>
                <w:sz w:val="24"/>
              </w:rPr>
              <w:t>情况</w:t>
            </w:r>
          </w:p>
        </w:tc>
        <w:tc>
          <w:tcPr>
            <w:tcW w:w="6637"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制定统一的办事指南、申报表格，将同一阶段所有事项所需材料进行整合，每个审批阶段申请人只需提交一套申报材料。</w:t>
            </w:r>
          </w:p>
        </w:tc>
        <w:tc>
          <w:tcPr>
            <w:tcW w:w="2805" w:type="dxa"/>
            <w:vMerge w:val="restart"/>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示范区行政审批局牵头，相关职能部门配合</w:t>
            </w:r>
          </w:p>
        </w:tc>
        <w:tc>
          <w:tcPr>
            <w:tcW w:w="1551" w:type="dxa"/>
            <w:vMerge w:val="restart"/>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rPr>
                <w:rFonts w:hint="eastAsia" w:ascii="BatangChe" w:hAnsi="BatangChe"/>
                <w:b/>
                <w:color w:val="000000"/>
                <w:kern w:val="0"/>
                <w:sz w:val="24"/>
              </w:rPr>
            </w:pPr>
          </w:p>
        </w:tc>
        <w:tc>
          <w:tcPr>
            <w:tcW w:w="6637" w:type="dxa"/>
            <w:noWrap w:val="0"/>
            <w:vAlign w:val="center"/>
          </w:tcPr>
          <w:p>
            <w:pPr>
              <w:snapToGrid w:val="0"/>
              <w:rPr>
                <w:rFonts w:hint="eastAsia" w:ascii="BatangChe" w:hAnsi="BatangChe"/>
                <w:color w:val="000000"/>
                <w:sz w:val="24"/>
                <w:lang w:bidi="ar"/>
              </w:rPr>
            </w:pPr>
            <w:r>
              <w:rPr>
                <w:rFonts w:hint="eastAsia" w:ascii="BatangChe" w:hAnsi="BatangChe"/>
                <w:color w:val="000000"/>
                <w:sz w:val="24"/>
                <w:lang w:bidi="ar"/>
              </w:rPr>
              <w:t>梳理公布审批清单服务事项清单，不同审批阶段共享申报材料，不得要求申请人重复提交。</w:t>
            </w:r>
          </w:p>
        </w:tc>
        <w:tc>
          <w:tcPr>
            <w:tcW w:w="2805" w:type="dxa"/>
            <w:vMerge w:val="continue"/>
            <w:noWrap w:val="0"/>
            <w:vAlign w:val="center"/>
          </w:tcPr>
          <w:p>
            <w:pPr>
              <w:snapToGrid w:val="0"/>
              <w:rPr>
                <w:rFonts w:hint="eastAsia" w:ascii="BatangChe" w:hAnsi="BatangChe"/>
                <w:color w:val="000000"/>
                <w:kern w:val="0"/>
                <w:sz w:val="24"/>
              </w:rPr>
            </w:pPr>
          </w:p>
        </w:tc>
        <w:tc>
          <w:tcPr>
            <w:tcW w:w="1551" w:type="dxa"/>
            <w:vMerge w:val="continue"/>
            <w:noWrap w:val="0"/>
            <w:vAlign w:val="center"/>
          </w:tcPr>
          <w:p>
            <w:pPr>
              <w:snapToGrid w:val="0"/>
              <w:rPr>
                <w:rFonts w:hint="eastAsia" w:ascii="BatangChe" w:hAnsi="BatangCh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28</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“一套机制”建设</w:t>
            </w:r>
          </w:p>
          <w:p>
            <w:pPr>
              <w:snapToGrid w:val="0"/>
              <w:jc w:val="center"/>
              <w:rPr>
                <w:rFonts w:hint="eastAsia" w:ascii="BatangChe" w:hAnsi="BatangChe" w:eastAsia="仿宋" w:cs="仿宋"/>
                <w:b/>
                <w:sz w:val="24"/>
                <w:lang w:bidi="ar"/>
              </w:rPr>
            </w:pPr>
            <w:r>
              <w:rPr>
                <w:rFonts w:hint="eastAsia" w:ascii="BatangChe" w:hAnsi="BatangChe"/>
                <w:b/>
                <w:color w:val="000000"/>
                <w:kern w:val="0"/>
                <w:sz w:val="24"/>
              </w:rPr>
              <w:t>情况</w:t>
            </w:r>
          </w:p>
        </w:tc>
        <w:tc>
          <w:tcPr>
            <w:tcW w:w="6637" w:type="dxa"/>
            <w:noWrap w:val="0"/>
            <w:vAlign w:val="center"/>
          </w:tcPr>
          <w:p>
            <w:pPr>
              <w:widowControl/>
              <w:snapToGrid w:val="0"/>
              <w:jc w:val="left"/>
              <w:rPr>
                <w:rFonts w:hint="eastAsia" w:ascii="BatangChe" w:hAnsi="BatangChe"/>
                <w:color w:val="000000"/>
                <w:sz w:val="24"/>
                <w:lang w:bidi="ar"/>
              </w:rPr>
            </w:pPr>
            <w:r>
              <w:rPr>
                <w:rFonts w:hint="eastAsia" w:ascii="BatangChe" w:hAnsi="BatangChe"/>
                <w:color w:val="000000"/>
                <w:sz w:val="24"/>
                <w:lang w:bidi="ar"/>
              </w:rPr>
              <w:t>基本建立立项用地规划许可、工程建设许可、施工许可、竣工验收各阶段的配套制度，以及牵头部门负责制、协调机制、督查制度、“多规合一”协同规则、工程建设项目审批管理系统运行规则、加强事中事后监管制度等，并不断进行修改完善。</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示范区行政审批局牵头，各相关职能部门配合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29</w:t>
            </w:r>
          </w:p>
        </w:tc>
        <w:tc>
          <w:tcPr>
            <w:tcW w:w="603"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cs="仿宋"/>
                <w:b/>
                <w:sz w:val="24"/>
                <w:lang w:bidi="ar"/>
              </w:rPr>
              <w:t>任务落实情况</w:t>
            </w: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加强事中</w:t>
            </w:r>
          </w:p>
          <w:p>
            <w:pPr>
              <w:snapToGrid w:val="0"/>
              <w:jc w:val="center"/>
              <w:rPr>
                <w:rFonts w:hint="eastAsia" w:ascii="BatangChe" w:hAnsi="BatangChe"/>
                <w:b/>
                <w:color w:val="000000"/>
                <w:kern w:val="0"/>
                <w:sz w:val="24"/>
              </w:rPr>
            </w:pPr>
            <w:r>
              <w:rPr>
                <w:rFonts w:hint="eastAsia" w:ascii="BatangChe" w:hAnsi="BatangChe"/>
                <w:b/>
                <w:color w:val="000000"/>
                <w:kern w:val="0"/>
                <w:sz w:val="24"/>
              </w:rPr>
              <w:t>事后监管</w:t>
            </w:r>
          </w:p>
        </w:tc>
        <w:tc>
          <w:tcPr>
            <w:tcW w:w="6637" w:type="dxa"/>
            <w:noWrap w:val="0"/>
            <w:vAlign w:val="center"/>
          </w:tcPr>
          <w:p>
            <w:pPr>
              <w:snapToGrid w:val="0"/>
              <w:rPr>
                <w:rFonts w:hint="eastAsia" w:ascii="BatangChe" w:hAnsi="BatangChe"/>
                <w:color w:val="000000"/>
                <w:sz w:val="24"/>
                <w:lang w:bidi="ar"/>
              </w:rPr>
            </w:pPr>
            <w:r>
              <w:rPr>
                <w:rFonts w:hint="eastAsia" w:ascii="BatangChe" w:hAnsi="BatangChe"/>
                <w:color w:val="000000"/>
                <w:sz w:val="24"/>
                <w:lang w:bidi="ar"/>
              </w:rPr>
              <w:t>制定并实施加强事中事后监管的相关制度和监督检查办法，全面推行“双随机、一公开”监管。加大监督检查力度，严肃查处违法违规行为。对于实施告知承诺制的审批事项，承诺人未履行承诺的，审批部门要依法撤销行政审批决定并追究承诺人的相应责任，记入不良行为记录，向社会公开。</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示范区各相关行业监管部门负责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850" w:type="dxa"/>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30</w:t>
            </w: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加强信用</w:t>
            </w:r>
          </w:p>
          <w:p>
            <w:pPr>
              <w:snapToGrid w:val="0"/>
              <w:jc w:val="center"/>
              <w:rPr>
                <w:rFonts w:hint="eastAsia" w:ascii="BatangChe" w:hAnsi="BatangChe" w:eastAsia="仿宋" w:cs="仿宋"/>
                <w:b/>
                <w:sz w:val="24"/>
                <w:lang w:bidi="ar"/>
              </w:rPr>
            </w:pPr>
            <w:r>
              <w:rPr>
                <w:rFonts w:hint="eastAsia" w:ascii="BatangChe" w:hAnsi="BatangChe"/>
                <w:b/>
                <w:color w:val="000000"/>
                <w:kern w:val="0"/>
                <w:sz w:val="24"/>
              </w:rPr>
              <w:t>体系建设</w:t>
            </w:r>
          </w:p>
        </w:tc>
        <w:tc>
          <w:tcPr>
            <w:tcW w:w="6637" w:type="dxa"/>
            <w:noWrap w:val="0"/>
            <w:vAlign w:val="center"/>
          </w:tcPr>
          <w:p>
            <w:pPr>
              <w:snapToGrid w:val="0"/>
              <w:jc w:val="left"/>
              <w:rPr>
                <w:rFonts w:hint="eastAsia" w:ascii="BatangChe" w:hAnsi="BatangChe"/>
                <w:color w:val="000000"/>
                <w:sz w:val="24"/>
                <w:lang w:bidi="ar"/>
              </w:rPr>
            </w:pPr>
            <w:r>
              <w:rPr>
                <w:rFonts w:hint="eastAsia" w:ascii="BatangChe" w:hAnsi="BatangChe"/>
                <w:color w:val="000000"/>
                <w:sz w:val="24"/>
                <w:lang w:bidi="ar"/>
              </w:rPr>
              <w:t>依托工程建设项目审批管理系统，建立工程建设项目审批信用信息模块，与省级审批管理系统和全国公共信用信息共享平台（陕西）、信用中国（陕西）网站实现互联互通，共享市场主体的信用信息，构建“一处失信、处处受限”的联合协同惩戒机制。</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示范区发改局、网信办、政务公开办牵头负责，各相关部门配合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850" w:type="dxa"/>
            <w:vMerge w:val="restart"/>
            <w:noWrap w:val="0"/>
            <w:vAlign w:val="center"/>
          </w:tcPr>
          <w:p>
            <w:pPr>
              <w:snapToGrid w:val="0"/>
              <w:jc w:val="center"/>
              <w:rPr>
                <w:rFonts w:hint="eastAsia" w:ascii="BatangChe" w:hAnsi="BatangChe" w:eastAsia="仿宋" w:cs="仿宋"/>
                <w:sz w:val="24"/>
                <w:lang w:bidi="ar"/>
              </w:rPr>
            </w:pPr>
            <w:r>
              <w:rPr>
                <w:rFonts w:hint="eastAsia" w:ascii="BatangChe" w:hAnsi="BatangChe" w:eastAsia="仿宋" w:cs="仿宋"/>
                <w:sz w:val="24"/>
                <w:lang w:bidi="ar"/>
              </w:rPr>
              <w:t>31</w:t>
            </w:r>
          </w:p>
        </w:tc>
        <w:tc>
          <w:tcPr>
            <w:tcW w:w="603" w:type="dxa"/>
            <w:vMerge w:val="continue"/>
            <w:noWrap w:val="0"/>
            <w:vAlign w:val="center"/>
          </w:tcPr>
          <w:p>
            <w:pPr>
              <w:snapToGrid w:val="0"/>
              <w:jc w:val="center"/>
              <w:rPr>
                <w:rFonts w:hint="eastAsia" w:ascii="BatangChe" w:hAnsi="BatangChe" w:cs="仿宋"/>
                <w:b/>
                <w:sz w:val="24"/>
                <w:lang w:bidi="ar"/>
              </w:rPr>
            </w:pPr>
          </w:p>
        </w:tc>
        <w:tc>
          <w:tcPr>
            <w:tcW w:w="1474" w:type="dxa"/>
            <w:vMerge w:val="restart"/>
            <w:noWrap w:val="0"/>
            <w:vAlign w:val="center"/>
          </w:tcPr>
          <w:p>
            <w:pPr>
              <w:snapToGrid w:val="0"/>
              <w:jc w:val="center"/>
              <w:rPr>
                <w:rFonts w:hint="eastAsia" w:ascii="BatangChe" w:hAnsi="BatangChe"/>
                <w:b/>
                <w:color w:val="000000"/>
                <w:kern w:val="0"/>
                <w:sz w:val="24"/>
              </w:rPr>
            </w:pPr>
            <w:r>
              <w:rPr>
                <w:rFonts w:hint="eastAsia" w:ascii="BatangChe" w:hAnsi="BatangChe"/>
                <w:b/>
                <w:color w:val="000000"/>
                <w:kern w:val="0"/>
                <w:sz w:val="24"/>
              </w:rPr>
              <w:t>规范中介和市政公用</w:t>
            </w:r>
          </w:p>
          <w:p>
            <w:pPr>
              <w:snapToGrid w:val="0"/>
              <w:jc w:val="center"/>
              <w:rPr>
                <w:rFonts w:hint="eastAsia" w:ascii="BatangChe" w:hAnsi="BatangChe"/>
                <w:b/>
                <w:color w:val="000000"/>
                <w:kern w:val="0"/>
                <w:sz w:val="24"/>
              </w:rPr>
            </w:pPr>
            <w:r>
              <w:rPr>
                <w:rFonts w:hint="eastAsia" w:ascii="BatangChe" w:hAnsi="BatangChe"/>
                <w:b/>
                <w:color w:val="000000"/>
                <w:kern w:val="0"/>
                <w:sz w:val="24"/>
              </w:rPr>
              <w:t>服务</w:t>
            </w:r>
          </w:p>
        </w:tc>
        <w:tc>
          <w:tcPr>
            <w:tcW w:w="6637" w:type="dxa"/>
            <w:noWrap w:val="0"/>
            <w:vAlign w:val="center"/>
          </w:tcPr>
          <w:p>
            <w:pPr>
              <w:snapToGrid w:val="0"/>
              <w:jc w:val="left"/>
              <w:rPr>
                <w:rFonts w:hint="eastAsia" w:ascii="BatangChe" w:hAnsi="BatangChe"/>
                <w:color w:val="000000"/>
                <w:sz w:val="24"/>
                <w:lang w:bidi="ar"/>
              </w:rPr>
            </w:pPr>
            <w:r>
              <w:rPr>
                <w:rFonts w:hint="eastAsia" w:ascii="BatangChe" w:hAnsi="BatangChe"/>
                <w:color w:val="000000"/>
                <w:sz w:val="24"/>
                <w:lang w:bidi="ar"/>
              </w:rPr>
              <w:t>将供水、供电、燃气、热力、排水、通信等市政公用服务统一入驻行政审批服务大厅。研究制定市政公用服务管理办法，规范服务环节、办理流程、服务时限和服务标准，实现“一窗式”受理办结。</w:t>
            </w:r>
          </w:p>
        </w:tc>
        <w:tc>
          <w:tcPr>
            <w:tcW w:w="2805" w:type="dxa"/>
            <w:noWrap w:val="0"/>
            <w:vAlign w:val="center"/>
          </w:tcPr>
          <w:p>
            <w:pPr>
              <w:snapToGrid w:val="0"/>
              <w:rPr>
                <w:rFonts w:hint="eastAsia" w:ascii="BatangChe" w:hAnsi="BatangChe"/>
                <w:color w:val="000000"/>
                <w:kern w:val="0"/>
                <w:sz w:val="24"/>
              </w:rPr>
            </w:pPr>
            <w:r>
              <w:rPr>
                <w:rFonts w:hint="eastAsia" w:ascii="BatangChe" w:hAnsi="BatangChe"/>
                <w:color w:val="000000"/>
                <w:kern w:val="0"/>
                <w:sz w:val="24"/>
              </w:rPr>
              <w:t>示范区行政审批局牵头，发改局、城管局、水务局配合</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850" w:type="dxa"/>
            <w:vMerge w:val="continue"/>
            <w:noWrap w:val="0"/>
            <w:vAlign w:val="center"/>
          </w:tcPr>
          <w:p>
            <w:pPr>
              <w:snapToGrid w:val="0"/>
              <w:jc w:val="center"/>
              <w:rPr>
                <w:rFonts w:hint="eastAsia" w:ascii="BatangChe" w:hAnsi="BatangChe" w:eastAsia="仿宋" w:cs="仿宋"/>
                <w:sz w:val="24"/>
                <w:lang w:bidi="ar"/>
              </w:rPr>
            </w:pPr>
          </w:p>
        </w:tc>
        <w:tc>
          <w:tcPr>
            <w:tcW w:w="603" w:type="dxa"/>
            <w:vMerge w:val="continue"/>
            <w:noWrap w:val="0"/>
            <w:vAlign w:val="center"/>
          </w:tcPr>
          <w:p>
            <w:pPr>
              <w:snapToGrid w:val="0"/>
              <w:jc w:val="center"/>
              <w:rPr>
                <w:rFonts w:hint="eastAsia" w:ascii="BatangChe" w:hAnsi="BatangChe" w:eastAsia="仿宋" w:cs="仿宋"/>
                <w:sz w:val="24"/>
                <w:lang w:bidi="ar"/>
              </w:rPr>
            </w:pPr>
          </w:p>
        </w:tc>
        <w:tc>
          <w:tcPr>
            <w:tcW w:w="1474" w:type="dxa"/>
            <w:vMerge w:val="continue"/>
            <w:noWrap w:val="0"/>
            <w:vAlign w:val="center"/>
          </w:tcPr>
          <w:p>
            <w:pPr>
              <w:snapToGrid w:val="0"/>
              <w:jc w:val="center"/>
              <w:rPr>
                <w:rFonts w:hint="eastAsia" w:ascii="BatangChe" w:hAnsi="BatangChe" w:eastAsia="仿宋" w:cs="仿宋"/>
                <w:b/>
                <w:sz w:val="24"/>
                <w:lang w:bidi="ar"/>
              </w:rPr>
            </w:pPr>
          </w:p>
        </w:tc>
        <w:tc>
          <w:tcPr>
            <w:tcW w:w="6637" w:type="dxa"/>
            <w:noWrap w:val="0"/>
            <w:vAlign w:val="center"/>
          </w:tcPr>
          <w:p>
            <w:pPr>
              <w:snapToGrid w:val="0"/>
              <w:rPr>
                <w:rFonts w:hint="eastAsia" w:ascii="BatangChe" w:hAnsi="BatangChe"/>
                <w:color w:val="000000"/>
                <w:sz w:val="24"/>
                <w:lang w:bidi="ar"/>
              </w:rPr>
            </w:pPr>
            <w:r>
              <w:rPr>
                <w:rFonts w:hint="eastAsia" w:ascii="BatangChe" w:hAnsi="BatangChe"/>
                <w:color w:val="000000"/>
                <w:sz w:val="24"/>
                <w:lang w:bidi="ar"/>
              </w:rPr>
              <w:t>制定中介服务管理制度，依托政务服务网建立“中介服务超市”，推行“红黑名单”制度和服务承诺制，实现对中介服务行为全过程监管。规范中介服务收费标准，查处违法违规收费行为。</w:t>
            </w:r>
          </w:p>
        </w:tc>
        <w:tc>
          <w:tcPr>
            <w:tcW w:w="2805" w:type="dxa"/>
            <w:noWrap w:val="0"/>
            <w:vAlign w:val="center"/>
          </w:tcPr>
          <w:p>
            <w:pPr>
              <w:snapToGrid w:val="0"/>
              <w:rPr>
                <w:rFonts w:ascii="BatangChe" w:hAnsi="BatangChe"/>
                <w:sz w:val="24"/>
              </w:rPr>
            </w:pPr>
            <w:r>
              <w:rPr>
                <w:rFonts w:hint="eastAsia" w:ascii="BatangChe" w:hAnsi="BatangChe"/>
                <w:color w:val="000000"/>
                <w:kern w:val="0"/>
                <w:sz w:val="24"/>
              </w:rPr>
              <w:t>各行业监管部门负责</w:t>
            </w:r>
          </w:p>
        </w:tc>
        <w:tc>
          <w:tcPr>
            <w:tcW w:w="1551" w:type="dxa"/>
            <w:noWrap w:val="0"/>
            <w:vAlign w:val="center"/>
          </w:tcPr>
          <w:p>
            <w:pPr>
              <w:snapToGrid w:val="0"/>
              <w:jc w:val="center"/>
              <w:rPr>
                <w:rFonts w:hint="eastAsia" w:ascii="BatangChe" w:hAnsi="BatangChe"/>
                <w:color w:val="000000"/>
                <w:kern w:val="0"/>
                <w:sz w:val="24"/>
              </w:rPr>
            </w:pPr>
            <w:r>
              <w:rPr>
                <w:rFonts w:hint="eastAsia" w:ascii="BatangChe" w:hAnsi="BatangChe"/>
                <w:color w:val="000000"/>
                <w:kern w:val="0"/>
                <w:sz w:val="24"/>
              </w:rPr>
              <w:t>2019年8月</w:t>
            </w:r>
          </w:p>
        </w:tc>
      </w:tr>
    </w:tbl>
    <w:p>
      <w:pPr>
        <w:rPr>
          <w:rFonts w:ascii="BatangChe" w:hAnsi="BatangChe" w:eastAsia="方正小标宋简体"/>
          <w:bCs/>
          <w:sz w:val="36"/>
          <w:szCs w:val="36"/>
        </w:rPr>
        <w:sectPr>
          <w:footerReference r:id="rId3" w:type="default"/>
          <w:pgSz w:w="16838" w:h="11906" w:orient="landscape"/>
          <w:pgMar w:top="1418" w:right="1701" w:bottom="1418" w:left="1588" w:header="1021" w:footer="1021"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5" w:leftChars="150" w:right="315" w:rightChars="150"/>
      <w:rPr>
        <w:rStyle w:val="6"/>
        <w:rFonts w:ascii="宋体" w:hAnsi="宋体"/>
        <w:sz w:val="28"/>
        <w:szCs w:val="28"/>
      </w:rPr>
    </w:pPr>
    <w:r>
      <w:rPr>
        <w:rStyle w:val="6"/>
        <w:rFonts w:hint="eastAsia" w:ascii="宋体" w:hAnsi="宋体"/>
        <w:sz w:val="28"/>
        <w:szCs w:val="28"/>
      </w:rPr>
      <w:t>—</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26</w:t>
    </w:r>
    <w:r>
      <w:rPr>
        <w:rFonts w:ascii="宋体" w:hAnsi="宋体"/>
        <w:sz w:val="28"/>
        <w:szCs w:val="28"/>
      </w:rPr>
      <w:fldChar w:fldCharType="end"/>
    </w:r>
    <w:r>
      <w:rPr>
        <w:rStyle w:val="6"/>
        <w:rFonts w:hint="eastAsia" w:ascii="宋体" w:hAnsi="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5E"/>
    <w:rsid w:val="0024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2019-08-05T03:41:00Z</dcterms:created>
  <dc:creator>L</dc:creator>
  <cp:lastModifiedBy>L</cp:lastModifiedBy>
  <dcterms:modified xsi:type="dcterms:W3CDTF">2019-08-05T03:41:47Z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