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eastAsia="黑体" w:cs="Times New Roman"/>
          <w:color w:val="000000"/>
        </w:rPr>
      </w:pPr>
      <w:r>
        <w:rPr>
          <w:rFonts w:hint="eastAsia" w:ascii="黑体" w:hAnsi="仿宋" w:eastAsia="黑体" w:cs="黑体"/>
          <w:color w:val="000000"/>
          <w:sz w:val="32"/>
          <w:szCs w:val="32"/>
        </w:rPr>
        <w:t>附件</w:t>
      </w:r>
      <w:r>
        <w:rPr>
          <w:rFonts w:ascii="黑体" w:hAnsi="仿宋" w:eastAsia="黑体" w:cs="黑体"/>
          <w:color w:val="000000"/>
          <w:sz w:val="32"/>
          <w:szCs w:val="32"/>
        </w:rPr>
        <w:t>6</w:t>
      </w:r>
      <w:bookmarkStart w:id="0" w:name="_GoBack"/>
      <w:bookmarkEnd w:id="0"/>
    </w:p>
    <w:p>
      <w:pPr>
        <w:spacing w:line="594" w:lineRule="exact"/>
        <w:jc w:val="center"/>
        <w:rPr>
          <w:rFonts w:ascii="方正小标宋简体" w:hAnsi="仿宋" w:eastAsia="方正小标宋简体" w:cs="Times New Roman"/>
          <w:b/>
          <w:bCs/>
          <w:color w:val="000000"/>
          <w:sz w:val="44"/>
          <w:szCs w:val="44"/>
        </w:rPr>
      </w:pPr>
    </w:p>
    <w:p>
      <w:pPr>
        <w:spacing w:line="594" w:lineRule="exact"/>
        <w:jc w:val="center"/>
        <w:rPr>
          <w:rFonts w:ascii="方正小标宋简体" w:hAnsi="仿宋" w:eastAsia="方正小标宋简体" w:cs="Times New Roman"/>
          <w:b/>
          <w:bCs/>
          <w:color w:val="000000"/>
          <w:sz w:val="36"/>
          <w:szCs w:val="36"/>
        </w:rPr>
      </w:pPr>
      <w:r>
        <w:rPr>
          <w:rFonts w:hint="eastAsia" w:ascii="方正小标宋简体" w:hAnsi="方正小标宋简体" w:eastAsia="方正小标宋简体" w:cs="方正小标宋简体"/>
          <w:color w:val="000000"/>
          <w:kern w:val="0"/>
          <w:sz w:val="36"/>
          <w:szCs w:val="36"/>
        </w:rPr>
        <w:t>应急减排措施基本要求（陕西省）</w:t>
      </w:r>
    </w:p>
    <w:p>
      <w:pPr>
        <w:spacing w:line="594" w:lineRule="exact"/>
        <w:jc w:val="left"/>
        <w:rPr>
          <w:rFonts w:ascii="仿宋" w:hAnsi="仿宋" w:eastAsia="仿宋" w:cs="Times New Roman"/>
          <w:color w:val="000000"/>
          <w:sz w:val="32"/>
          <w:szCs w:val="32"/>
        </w:rPr>
      </w:pPr>
    </w:p>
    <w:p>
      <w:pPr>
        <w:spacing w:line="360" w:lineRule="auto"/>
        <w:ind w:firstLine="640" w:firstLineChars="200"/>
        <w:rPr>
          <w:rFonts w:ascii="黑体" w:hAnsi="黑体" w:eastAsia="黑体" w:cs="Times New Roman"/>
          <w:sz w:val="32"/>
          <w:szCs w:val="32"/>
        </w:rPr>
      </w:pPr>
      <w:r>
        <w:rPr>
          <w:rFonts w:ascii="黑体" w:hAnsi="黑体" w:eastAsia="黑体" w:cs="黑体"/>
          <w:sz w:val="32"/>
          <w:szCs w:val="32"/>
        </w:rPr>
        <w:t>1</w:t>
      </w:r>
      <w:r>
        <w:rPr>
          <w:rFonts w:hint="eastAsia" w:ascii="黑体" w:hAnsi="黑体" w:eastAsia="黑体" w:cs="黑体"/>
          <w:sz w:val="32"/>
          <w:szCs w:val="32"/>
        </w:rPr>
        <w:t>总体要求和基本原则</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总体要求。</w:t>
      </w:r>
      <w:r>
        <w:rPr>
          <w:rFonts w:hint="eastAsia" w:ascii="仿宋_GB2312" w:hAnsi="仿宋_GB2312" w:eastAsia="仿宋_GB2312" w:cs="仿宋_GB2312"/>
          <w:sz w:val="32"/>
          <w:szCs w:val="32"/>
        </w:rPr>
        <w:t>重污染天气应急减排措施是在落实大气污染治理日常措施的基础上，对减排力度的进一步强化。应按照针对性、有效性、可操作和可考核的原则，以尽可能降低污染程度为目标，在减少对社会，尤其是居民生活影响的前提下，实施重污染天气应急减排措施，最大程度减少污染物排放。</w:t>
      </w:r>
      <w:r>
        <w:rPr>
          <w:rFonts w:ascii="仿宋_GB2312" w:hAnsi="仿宋_GB2312" w:eastAsia="仿宋_GB2312" w:cs="仿宋_GB2312"/>
          <w:sz w:val="32"/>
          <w:szCs w:val="32"/>
        </w:rPr>
        <w:t xml:space="preserve"> </w:t>
      </w:r>
    </w:p>
    <w:p>
      <w:pPr>
        <w:spacing w:line="360" w:lineRule="auto"/>
        <w:ind w:firstLine="643" w:firstLineChars="200"/>
        <w:rPr>
          <w:rFonts w:ascii="仿宋_GB2312" w:hAnsi="仿宋_GB2312" w:eastAsia="仿宋_GB2312" w:cs="Times New Roman"/>
          <w:sz w:val="32"/>
          <w:szCs w:val="32"/>
        </w:rPr>
      </w:pPr>
      <w:r>
        <w:rPr>
          <w:rFonts w:hint="eastAsia" w:ascii="仿宋_GB2312" w:hAnsi="仿宋_GB2312" w:eastAsia="仿宋_GB2312" w:cs="仿宋_GB2312"/>
          <w:b/>
          <w:bCs/>
          <w:sz w:val="32"/>
          <w:szCs w:val="32"/>
        </w:rPr>
        <w:t>针对性原则。</w:t>
      </w:r>
      <w:r>
        <w:rPr>
          <w:rFonts w:hint="eastAsia" w:ascii="仿宋_GB2312" w:hAnsi="仿宋_GB2312" w:eastAsia="仿宋_GB2312" w:cs="仿宋_GB2312"/>
          <w:sz w:val="32"/>
          <w:szCs w:val="32"/>
        </w:rPr>
        <w:t>在制定应急减排措施时，各市（区）应根据源解析结果和污染物排放构成选取应急管控重点对象。同行业内企业应根据污染物排放绩效水平进行排序，优先管控不能稳定达标排放的企业；企业应优先选取污染物排放量较大且能够快速安全减排的工艺环节。移动源管控措施应重点聚焦污染物排放量大的重型载货车。</w:t>
      </w:r>
    </w:p>
    <w:p>
      <w:pPr>
        <w:spacing w:line="360" w:lineRule="auto"/>
        <w:ind w:firstLine="643" w:firstLineChars="200"/>
        <w:rPr>
          <w:rFonts w:ascii="仿宋_GB2312" w:hAnsi="仿宋_GB2312" w:eastAsia="仿宋_GB2312" w:cs="Times New Roman"/>
          <w:sz w:val="32"/>
          <w:szCs w:val="32"/>
        </w:rPr>
      </w:pPr>
      <w:r>
        <w:rPr>
          <w:rFonts w:hint="eastAsia" w:ascii="仿宋_GB2312" w:hAnsi="仿宋_GB2312" w:eastAsia="仿宋_GB2312" w:cs="仿宋_GB2312"/>
          <w:b/>
          <w:bCs/>
          <w:sz w:val="32"/>
          <w:szCs w:val="32"/>
        </w:rPr>
        <w:t>有效性原则。</w:t>
      </w:r>
      <w:r>
        <w:rPr>
          <w:rFonts w:hint="eastAsia" w:ascii="仿宋_GB2312" w:hAnsi="仿宋_GB2312" w:eastAsia="仿宋_GB2312" w:cs="仿宋_GB2312"/>
          <w:sz w:val="32"/>
          <w:szCs w:val="32"/>
        </w:rPr>
        <w:t>应急减排措施应有效减少企业生产活动全过程（包括物料运输、堆存、原料准备、生产、成品运输等环节）的污染物排放，减少整个重污染天气高发季节应急措施对生产活动的扰动频次。应急管控对象企业应尽可能采取停产或限产（整条生产线停产）等方式实现应急减排，鼓励产能严重过剩的行业在采暖季实施错峰生产，一般产能过剩的行业以月或两月为单位实施轮流错峰生产。</w:t>
      </w:r>
    </w:p>
    <w:p>
      <w:pPr>
        <w:spacing w:line="360" w:lineRule="auto"/>
        <w:ind w:firstLine="643" w:firstLineChars="200"/>
        <w:rPr>
          <w:rFonts w:ascii="仿宋_GB2312" w:hAnsi="仿宋_GB2312" w:eastAsia="仿宋_GB2312" w:cs="Times New Roman"/>
          <w:sz w:val="32"/>
          <w:szCs w:val="32"/>
        </w:rPr>
      </w:pPr>
      <w:r>
        <w:rPr>
          <w:rFonts w:hint="eastAsia" w:ascii="仿宋_GB2312" w:hAnsi="仿宋_GB2312" w:eastAsia="仿宋_GB2312" w:cs="仿宋_GB2312"/>
          <w:b/>
          <w:bCs/>
          <w:sz w:val="32"/>
          <w:szCs w:val="32"/>
        </w:rPr>
        <w:t>可操作原则。</w:t>
      </w:r>
      <w:r>
        <w:rPr>
          <w:rFonts w:hint="eastAsia" w:ascii="仿宋_GB2312" w:hAnsi="仿宋_GB2312" w:eastAsia="仿宋_GB2312" w:cs="仿宋_GB2312"/>
          <w:sz w:val="32"/>
          <w:szCs w:val="32"/>
        </w:rPr>
        <w:t>应急减排应分门别类提出切实有效、便于操作的减排措施，避免采取“一刀切”的应急减排方式，确保措施能落地、可操作。工业企业减排措施要具体可行，制定具体的减排措施，明确管理实施流程，做到“一厂一策”。</w:t>
      </w:r>
    </w:p>
    <w:p>
      <w:pPr>
        <w:spacing w:line="360" w:lineRule="auto"/>
        <w:ind w:firstLine="643" w:firstLineChars="200"/>
        <w:rPr>
          <w:rFonts w:ascii="仿宋_GB2312" w:hAnsi="仿宋_GB2312" w:eastAsia="仿宋_GB2312" w:cs="Times New Roman"/>
          <w:sz w:val="32"/>
          <w:szCs w:val="32"/>
        </w:rPr>
      </w:pPr>
      <w:r>
        <w:rPr>
          <w:rFonts w:hint="eastAsia" w:ascii="仿宋_GB2312" w:hAnsi="仿宋_GB2312" w:eastAsia="仿宋_GB2312" w:cs="仿宋_GB2312"/>
          <w:b/>
          <w:bCs/>
          <w:sz w:val="32"/>
          <w:szCs w:val="32"/>
        </w:rPr>
        <w:t>可考核原则。</w:t>
      </w:r>
      <w:r>
        <w:rPr>
          <w:rFonts w:hint="eastAsia" w:ascii="仿宋_GB2312" w:hAnsi="仿宋_GB2312" w:eastAsia="仿宋_GB2312" w:cs="仿宋_GB2312"/>
          <w:sz w:val="32"/>
          <w:szCs w:val="32"/>
        </w:rPr>
        <w:t>应急减排措施应明确责任主体和分工部门，确定考核问责机制。应急减排清单应符合编制规范，明确企业单位的具体信息，停限产措施要落实到每个工序、每个环节，以便监督管理。</w:t>
      </w:r>
    </w:p>
    <w:p>
      <w:pPr>
        <w:spacing w:line="360" w:lineRule="auto"/>
        <w:ind w:firstLine="640" w:firstLineChars="200"/>
        <w:rPr>
          <w:rFonts w:ascii="黑体" w:hAnsi="黑体" w:eastAsia="黑体" w:cs="Times New Roman"/>
          <w:sz w:val="32"/>
          <w:szCs w:val="32"/>
        </w:rPr>
      </w:pPr>
      <w:r>
        <w:rPr>
          <w:rFonts w:ascii="黑体" w:hAnsi="黑体" w:eastAsia="黑体" w:cs="黑体"/>
          <w:sz w:val="32"/>
          <w:szCs w:val="32"/>
        </w:rPr>
        <w:t>2</w:t>
      </w:r>
      <w:r>
        <w:rPr>
          <w:rFonts w:hint="eastAsia" w:ascii="黑体" w:hAnsi="黑体" w:eastAsia="黑体" w:cs="黑体"/>
          <w:sz w:val="32"/>
          <w:szCs w:val="32"/>
        </w:rPr>
        <w:t>减排比例要求</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重污染天气应急期间，</w:t>
      </w:r>
      <w:r>
        <w:rPr>
          <w:rFonts w:ascii="仿宋_GB2312" w:hAnsi="仿宋_GB2312" w:eastAsia="仿宋_GB2312" w:cs="仿宋_GB2312"/>
          <w:sz w:val="32"/>
          <w:szCs w:val="32"/>
        </w:rPr>
        <w:t>SO</w:t>
      </w:r>
      <w:r>
        <w:rPr>
          <w:rFonts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NOx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PM</w:t>
      </w:r>
      <w:r>
        <w:rPr>
          <w:rFonts w:hint="eastAsia" w:ascii="仿宋_GB2312" w:hAnsi="仿宋_GB2312" w:eastAsia="仿宋_GB2312" w:cs="仿宋_GB2312"/>
          <w:sz w:val="32"/>
          <w:szCs w:val="32"/>
        </w:rPr>
        <w:t>等主要污染物在黄色、橙色和红色预警级别的减排比例应分别达到三种主要大气污染源（工业源、移动源和扬尘源）总排放量的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VOCs</w:t>
      </w:r>
      <w:r>
        <w:rPr>
          <w:rFonts w:hint="eastAsia" w:ascii="仿宋_GB2312" w:hAnsi="仿宋_GB2312" w:eastAsia="仿宋_GB2312" w:cs="仿宋_GB2312"/>
          <w:sz w:val="32"/>
          <w:szCs w:val="32"/>
        </w:rPr>
        <w:t>减排比例应分别达到工业源和移动源总排放量的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以上。各市（区）根据本地污染物排放构成，可内部调整</w:t>
      </w:r>
      <w:r>
        <w:rPr>
          <w:rFonts w:ascii="仿宋_GB2312" w:hAnsi="仿宋_GB2312" w:eastAsia="仿宋_GB2312" w:cs="仿宋_GB2312"/>
          <w:sz w:val="32"/>
          <w:szCs w:val="32"/>
        </w:rPr>
        <w:t>SO</w:t>
      </w:r>
      <w:r>
        <w:rPr>
          <w:rFonts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NOx</w:t>
      </w:r>
      <w:r>
        <w:rPr>
          <w:rFonts w:hint="eastAsia" w:ascii="仿宋_GB2312" w:hAnsi="仿宋_GB2312" w:eastAsia="仿宋_GB2312" w:cs="仿宋_GB2312"/>
          <w:sz w:val="32"/>
          <w:szCs w:val="32"/>
        </w:rPr>
        <w:t>的减排比例，但二者减排比例之和不应低于上述总体要求。蓝色预警级别</w:t>
      </w:r>
      <w:r>
        <w:rPr>
          <w:rFonts w:ascii="仿宋_GB2312" w:hAnsi="仿宋_GB2312" w:eastAsia="仿宋_GB2312" w:cs="仿宋_GB2312"/>
          <w:sz w:val="32"/>
          <w:szCs w:val="32"/>
        </w:rPr>
        <w:t>PM</w:t>
      </w:r>
      <w:r>
        <w:rPr>
          <w:rFonts w:hint="eastAsia" w:ascii="仿宋_GB2312" w:hAnsi="仿宋_GB2312" w:eastAsia="仿宋_GB2312" w:cs="仿宋_GB2312"/>
          <w:sz w:val="32"/>
          <w:szCs w:val="32"/>
        </w:rPr>
        <w:t>的减排比例应达到三种主要大气污染源（工业源、移动源和扬尘源）总排放量的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VOCs</w:t>
      </w:r>
      <w:r>
        <w:rPr>
          <w:rFonts w:hint="eastAsia" w:ascii="仿宋_GB2312" w:hAnsi="仿宋_GB2312" w:eastAsia="仿宋_GB2312" w:cs="仿宋_GB2312"/>
          <w:sz w:val="32"/>
          <w:szCs w:val="32"/>
        </w:rPr>
        <w:t>减排比例应达到工业源和移动源总排放量的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以上。</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各市（区）应根据本地污染特征和应急减排基础排放清单严格执行，可适当上调各项污染物减排比例。鼓励在重污染天气高发季节采取行业性错峰生产，对实施错峰生产的企业，在评估预警期间污染物减排量时按</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倍核算。</w:t>
      </w:r>
    </w:p>
    <w:p>
      <w:pPr>
        <w:spacing w:line="360" w:lineRule="auto"/>
        <w:ind w:firstLine="640" w:firstLineChars="200"/>
        <w:rPr>
          <w:rFonts w:ascii="仿宋_GB2312" w:hAnsi="仿宋_GB2312" w:eastAsia="仿宋_GB2312" w:cs="Times New Roman"/>
          <w:b/>
          <w:bCs/>
          <w:sz w:val="32"/>
          <w:szCs w:val="32"/>
        </w:rPr>
      </w:pPr>
      <w:r>
        <w:rPr>
          <w:rFonts w:ascii="黑体" w:hAnsi="黑体" w:eastAsia="黑体" w:cs="黑体"/>
          <w:sz w:val="32"/>
          <w:szCs w:val="32"/>
        </w:rPr>
        <w:t>3</w:t>
      </w:r>
      <w:r>
        <w:rPr>
          <w:rFonts w:hint="eastAsia" w:ascii="黑体" w:hAnsi="黑体" w:eastAsia="黑体" w:cs="黑体"/>
          <w:sz w:val="32"/>
          <w:szCs w:val="32"/>
        </w:rPr>
        <w:t>减排基数核算方法</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开展减排基数核算是科学制定和评估重污染天气应急减排措施的重要基础。减排基数核算包括基础排放清单建立及排放量核算、应急减排基数核算、日减排基数核算三部分。减排基数每年核算一次。</w:t>
      </w:r>
    </w:p>
    <w:p>
      <w:pPr>
        <w:spacing w:line="360" w:lineRule="auto"/>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）基础排放清单建立及排放量核算方法</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参考《关于开展京津冀大气污染传输通道污染源排放清单编制工作的通知》（环办大气〔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号）要求，建立应急减排基础排放清单，明确排污信息，基础排放对全社会的排放量进行测算，包括工业源、产业集群、采暖锅炉、民用散煤、其他民用源、道路机动车、非道路移动源、扬尘源等。</w:t>
      </w:r>
    </w:p>
    <w:p>
      <w:pPr>
        <w:spacing w:line="360" w:lineRule="auto"/>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）应急减排基数核算方法</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应急减排基数是在基础排放量中扣除当年常规治理措施减排量，得到的全年减排基数。对于当年已取缔或计划取缔的“散乱污”企业，已淘汰或计划淘汰的燃煤锅炉等对应的污染排放量，均不应纳入应急减排基数。应急减排基数核算主要针对工业源、移动源和扬尘源等三种主要大气污染源进行。</w:t>
      </w:r>
    </w:p>
    <w:p>
      <w:pPr>
        <w:spacing w:line="360" w:lineRule="auto"/>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）日减排基数核算方法</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日减排基数是应急减排基数折算到每日的排放量，用于测算重污染天气应急措施减排比例。工业企业原则上按照全年排放量除以</w:t>
      </w:r>
      <w:r>
        <w:rPr>
          <w:rFonts w:ascii="仿宋_GB2312" w:hAnsi="仿宋_GB2312" w:eastAsia="仿宋_GB2312" w:cs="仿宋_GB2312"/>
          <w:sz w:val="32"/>
          <w:szCs w:val="32"/>
        </w:rPr>
        <w:t>330</w:t>
      </w:r>
      <w:r>
        <w:rPr>
          <w:rFonts w:hint="eastAsia" w:ascii="仿宋_GB2312" w:hAnsi="仿宋_GB2312" w:eastAsia="仿宋_GB2312" w:cs="仿宋_GB2312"/>
          <w:sz w:val="32"/>
          <w:szCs w:val="32"/>
        </w:rPr>
        <w:t>天折算；采暖锅炉和民用散煤按照</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天折算；移动源和扬尘源按照</w:t>
      </w:r>
      <w:r>
        <w:rPr>
          <w:rFonts w:ascii="仿宋_GB2312" w:hAnsi="仿宋_GB2312" w:eastAsia="仿宋_GB2312" w:cs="仿宋_GB2312"/>
          <w:sz w:val="32"/>
          <w:szCs w:val="32"/>
        </w:rPr>
        <w:t>365</w:t>
      </w:r>
      <w:r>
        <w:rPr>
          <w:rFonts w:hint="eastAsia" w:ascii="仿宋_GB2312" w:hAnsi="仿宋_GB2312" w:eastAsia="仿宋_GB2312" w:cs="仿宋_GB2312"/>
          <w:sz w:val="32"/>
          <w:szCs w:val="32"/>
        </w:rPr>
        <w:t>天折算。扬尘排放量作为颗粒物排放量的一部分单独计算，其减排比例上限优先按照各市（区）分季节的</w:t>
      </w:r>
      <w:r>
        <w:rPr>
          <w:rFonts w:ascii="仿宋_GB2312" w:hAnsi="仿宋_GB2312" w:eastAsia="仿宋_GB2312" w:cs="仿宋_GB2312"/>
          <w:sz w:val="32"/>
          <w:szCs w:val="32"/>
        </w:rPr>
        <w:t>PM2.5</w:t>
      </w:r>
      <w:r>
        <w:rPr>
          <w:rFonts w:hint="eastAsia" w:ascii="仿宋_GB2312" w:hAnsi="仿宋_GB2312" w:eastAsia="仿宋_GB2312" w:cs="仿宋_GB2312"/>
          <w:sz w:val="32"/>
          <w:szCs w:val="32"/>
        </w:rPr>
        <w:t>来源解析结果确定。</w:t>
      </w:r>
    </w:p>
    <w:p/>
    <w:sectPr>
      <w:footerReference r:id="rId3" w:type="default"/>
      <w:pgSz w:w="11906" w:h="16838"/>
      <w:pgMar w:top="1984" w:right="1474" w:bottom="1928"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mc:AlternateContent>
        <mc:Choice Requires="wps">
          <w:drawing>
            <wp:anchor distT="0" distB="0" distL="114300" distR="114300" simplePos="0" relativeHeight="251657216"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cs="Times New Roman"/>
                              <w:sz w:val="28"/>
                              <w:szCs w:val="28"/>
                            </w:rPr>
                          </w:pPr>
                          <w:r>
                            <w:fldChar w:fldCharType="begin"/>
                          </w:r>
                          <w:r>
                            <w:instrText xml:space="preserve">PAGE   \* MERGEFORMAT</w:instrText>
                          </w:r>
                          <w:r>
                            <w:fldChar w:fldCharType="separate"/>
                          </w:r>
                          <w:r>
                            <w:rPr>
                              <w:rFonts w:ascii="宋体" w:cs="宋体"/>
                              <w:sz w:val="28"/>
                              <w:szCs w:val="28"/>
                              <w:lang w:val="zh-CN"/>
                            </w:rPr>
                            <w:t>-</w:t>
                          </w:r>
                          <w:r>
                            <w:rPr>
                              <w:rFonts w:ascii="宋体" w:hAnsi="宋体" w:cs="宋体"/>
                              <w:sz w:val="28"/>
                              <w:szCs w:val="28"/>
                            </w:rPr>
                            <w:t xml:space="preserve"> 31 </w:t>
                          </w:r>
                          <w:r>
                            <w:rPr>
                              <w:sz w:val="28"/>
                              <w:szCs w:val="28"/>
                            </w:rPr>
                            <w:t>-</w:t>
                          </w:r>
                          <w:r>
                            <w:rPr>
                              <w:sz w:val="28"/>
                              <w:szCs w:val="28"/>
                            </w:rPr>
                            <w:fldChar w:fldCharType="end"/>
                          </w:r>
                        </w:p>
                        <w:p>
                          <w:pPr>
                            <w:rPr>
                              <w:rFonts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path/>
              <v:fill on="f" focussize="0,0"/>
              <v:stroke on="f" weight="0.5pt" joinstyle="miter"/>
              <v:imagedata o:title=""/>
              <o:lock v:ext="edit"/>
              <v:textbox inset="0mm,0mm,0mm,0mm" style="mso-fit-shape-to-text:t;">
                <w:txbxContent>
                  <w:p>
                    <w:pPr>
                      <w:pStyle w:val="2"/>
                      <w:rPr>
                        <w:rFonts w:cs="Times New Roman"/>
                        <w:sz w:val="28"/>
                        <w:szCs w:val="28"/>
                      </w:rPr>
                    </w:pPr>
                    <w:r>
                      <w:fldChar w:fldCharType="begin"/>
                    </w:r>
                    <w:r>
                      <w:instrText xml:space="preserve">PAGE   \* MERGEFORMAT</w:instrText>
                    </w:r>
                    <w:r>
                      <w:fldChar w:fldCharType="separate"/>
                    </w:r>
                    <w:r>
                      <w:rPr>
                        <w:rFonts w:ascii="宋体" w:cs="宋体"/>
                        <w:sz w:val="28"/>
                        <w:szCs w:val="28"/>
                        <w:lang w:val="zh-CN"/>
                      </w:rPr>
                      <w:t>-</w:t>
                    </w:r>
                    <w:r>
                      <w:rPr>
                        <w:rFonts w:ascii="宋体" w:hAnsi="宋体" w:cs="宋体"/>
                        <w:sz w:val="28"/>
                        <w:szCs w:val="28"/>
                      </w:rPr>
                      <w:t xml:space="preserve"> 31 </w:t>
                    </w:r>
                    <w:r>
                      <w:rPr>
                        <w:sz w:val="28"/>
                        <w:szCs w:val="28"/>
                      </w:rPr>
                      <w:t>-</w:t>
                    </w:r>
                    <w:r>
                      <w:rPr>
                        <w:sz w:val="28"/>
                        <w:szCs w:val="28"/>
                      </w:rPr>
                      <w:fldChar w:fldCharType="end"/>
                    </w:r>
                  </w:p>
                  <w:p>
                    <w:pPr>
                      <w:rPr>
                        <w:rFonts w:cs="Times New Roman"/>
                      </w:rPr>
                    </w:pPr>
                  </w:p>
                </w:txbxContent>
              </v:textbox>
            </v:shape>
          </w:pict>
        </mc:Fallback>
      </mc:AlternateContent>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33D33"/>
    <w:rsid w:val="6D833D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2017-12-28T08:22:00Z</dcterms:created>
  <dc:creator>阿梅</dc:creator>
  <cp:lastModifiedBy>阿梅</cp:lastModifiedBy>
  <dcterms:modified xsi:type="dcterms:W3CDTF">2017-12-28T08:24:34Z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