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hint="eastAsia" w:ascii="BatangChe" w:hAnsi="BatangChe" w:eastAsia="仿宋_GB2312" w:cs="宋体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仿宋_GB2312" w:cs="宋体"/>
          <w:color w:val="000000"/>
          <w:kern w:val="0"/>
          <w:sz w:val="32"/>
          <w:szCs w:val="32"/>
        </w:rPr>
        <w:t xml:space="preserve">附件：                            </w:t>
      </w:r>
      <w:r>
        <w:rPr>
          <w:rFonts w:hint="eastAsia" w:ascii="BatangChe" w:hAnsi="BatangChe" w:eastAsia="黑体" w:cs="宋体"/>
          <w:color w:val="000000"/>
          <w:kern w:val="0"/>
          <w:sz w:val="32"/>
          <w:szCs w:val="32"/>
        </w:rPr>
        <w:t>一季度考核重点</w:t>
      </w:r>
      <w:r>
        <w:rPr>
          <w:rFonts w:hint="eastAsia" w:ascii="BatangChe" w:hAnsi="黑体" w:eastAsia="黑体" w:cs="宋体"/>
          <w:color w:val="000000"/>
          <w:kern w:val="0"/>
          <w:sz w:val="32"/>
          <w:szCs w:val="32"/>
        </w:rPr>
        <w:t>内</w:t>
      </w:r>
      <w:r>
        <w:rPr>
          <w:rFonts w:hint="eastAsia" w:ascii="BatangChe" w:hAnsi="BatangChe" w:eastAsia="黑体" w:cs="宋体"/>
          <w:color w:val="000000"/>
          <w:kern w:val="0"/>
          <w:sz w:val="32"/>
          <w:szCs w:val="32"/>
        </w:rPr>
        <w:t>容及</w:t>
      </w:r>
      <w:r>
        <w:rPr>
          <w:rFonts w:hint="eastAsia" w:ascii="BatangChe" w:hAnsi="黑体" w:eastAsia="黑体" w:cs="宋体"/>
          <w:color w:val="000000"/>
          <w:kern w:val="0"/>
          <w:sz w:val="32"/>
          <w:szCs w:val="32"/>
        </w:rPr>
        <w:t>评</w:t>
      </w:r>
      <w:r>
        <w:rPr>
          <w:rFonts w:hint="eastAsia" w:ascii="BatangChe" w:hAnsi="BatangChe" w:eastAsia="黑体" w:cs="宋体"/>
          <w:color w:val="000000"/>
          <w:kern w:val="0"/>
          <w:sz w:val="32"/>
          <w:szCs w:val="32"/>
        </w:rPr>
        <w:t>分</w:t>
      </w:r>
      <w:r>
        <w:rPr>
          <w:rFonts w:hint="eastAsia" w:ascii="BatangChe" w:hAnsi="黑体" w:eastAsia="黑体" w:cs="宋体"/>
          <w:color w:val="000000"/>
          <w:kern w:val="0"/>
          <w:sz w:val="32"/>
          <w:szCs w:val="32"/>
        </w:rPr>
        <w:t>细则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BatangChe" w:hAnsi="BatangChe" w:eastAsia="仿宋_GB2312" w:cs="宋体"/>
          <w:color w:val="000000"/>
          <w:kern w:val="0"/>
          <w:sz w:val="11"/>
          <w:szCs w:val="11"/>
        </w:rPr>
      </w:pPr>
    </w:p>
    <w:p>
      <w:pPr>
        <w:widowControl/>
        <w:adjustRightInd w:val="0"/>
        <w:snapToGrid w:val="0"/>
        <w:spacing w:line="240" w:lineRule="atLeast"/>
        <w:rPr>
          <w:rFonts w:hint="eastAsia" w:ascii="BatangChe" w:hAnsi="BatangChe" w:eastAsia="仿宋_GB2312" w:cs="宋体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黑体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BatangChe" w:hAnsi="BatangChe" w:eastAsia="仿宋_GB2312" w:cs="宋体"/>
          <w:color w:val="000000"/>
          <w:kern w:val="0"/>
          <w:sz w:val="32"/>
          <w:szCs w:val="32"/>
        </w:rPr>
        <w:t xml:space="preserve">  被考核单位：                    时间：                   联系人：</w:t>
      </w:r>
    </w:p>
    <w:tbl>
      <w:tblPr>
        <w:tblStyle w:val="7"/>
        <w:tblW w:w="15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9"/>
        <w:gridCol w:w="4203"/>
        <w:gridCol w:w="4682"/>
        <w:gridCol w:w="1437"/>
        <w:gridCol w:w="1264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BatangChe" w:hAnsi="BatangChe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黑体" w:cs="宋体"/>
                <w:color w:val="000000"/>
                <w:kern w:val="0"/>
                <w:sz w:val="24"/>
              </w:rPr>
              <w:t>考核</w:t>
            </w:r>
            <w:r>
              <w:rPr>
                <w:rFonts w:hint="eastAsia" w:ascii="BatangChe" w:hAnsi="黑体" w:eastAsia="黑体" w:cs="宋体"/>
                <w:color w:val="000000"/>
                <w:kern w:val="0"/>
                <w:sz w:val="24"/>
              </w:rPr>
              <w:t>内</w:t>
            </w:r>
            <w:r>
              <w:rPr>
                <w:rFonts w:hint="eastAsia" w:ascii="BatangChe" w:hAnsi="BatangChe" w:eastAsia="黑体" w:cs="宋体"/>
                <w:color w:val="000000"/>
                <w:kern w:val="0"/>
                <w:sz w:val="24"/>
              </w:rPr>
              <w:t>容</w:t>
            </w:r>
          </w:p>
        </w:tc>
        <w:tc>
          <w:tcPr>
            <w:tcW w:w="42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BatangChe" w:hAnsi="BatangChe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黑体" w:cs="宋体"/>
                <w:color w:val="000000"/>
                <w:kern w:val="0"/>
                <w:sz w:val="24"/>
              </w:rPr>
              <w:t>评分细则</w:t>
            </w:r>
          </w:p>
        </w:tc>
        <w:tc>
          <w:tcPr>
            <w:tcW w:w="46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BatangChe" w:hAnsi="BatangChe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黑体" w:cs="宋体"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BatangChe" w:hAnsi="BatangChe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黑体" w:cs="宋体"/>
                <w:color w:val="000000"/>
                <w:kern w:val="0"/>
                <w:sz w:val="24"/>
              </w:rPr>
              <w:t>考核方式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BatangChe" w:hAnsi="BatangChe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黑体" w:cs="宋体"/>
                <w:color w:val="000000"/>
                <w:kern w:val="0"/>
                <w:sz w:val="24"/>
              </w:rPr>
              <w:t>扣分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BatangChe" w:hAnsi="BatangChe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黑体" w:cs="宋体"/>
                <w:color w:val="000000"/>
                <w:kern w:val="0"/>
                <w:sz w:val="24"/>
              </w:rPr>
              <w:t>原因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BatangChe" w:hAnsi="BatangChe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黑体" w:cs="宋体"/>
                <w:color w:val="000000"/>
                <w:kern w:val="0"/>
                <w:sz w:val="24"/>
              </w:rPr>
              <w:t>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2017年春节后复产复工安全检查和员工岗前安全培训工作开展情况（杨管安委发〔2017〕1号）。</w:t>
            </w:r>
          </w:p>
        </w:tc>
        <w:tc>
          <w:tcPr>
            <w:tcW w:w="420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开展各行业领域节后复工复产安全检查，督促做好员工岗前安全培训，收集整理并按时报送节后复工复产安全生产评估报告。20分</w:t>
            </w:r>
          </w:p>
        </w:tc>
        <w:tc>
          <w:tcPr>
            <w:tcW w:w="468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1.文件批办和工作安排不及时的，扣10分；2.未安排部署检查的，扣6分；</w:t>
            </w:r>
          </w:p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3.工作覆盖面小，资料偏少的，扣4分；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现场查看文档和资料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全国“两会”期间安全生产工作开展情况（杨管安委办发〔2017〕3号和4号）。</w:t>
            </w:r>
          </w:p>
        </w:tc>
        <w:tc>
          <w:tcPr>
            <w:tcW w:w="420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按照要求开展全国“两会”期间安全生产检查督查工作，及时上报各类值班值守信息。20分</w:t>
            </w:r>
          </w:p>
        </w:tc>
        <w:tc>
          <w:tcPr>
            <w:tcW w:w="468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1.文件批办和工作安排不及时的，扣10分；2.未开展“两会”期间安全生产监督督查工作的，扣10分；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现场查看文档和资料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贯彻落实示范区2017年度安全生产工作会议精神，按照示范区2017年度安全生产工作要点要求开展各项工作。（杨管安委办发〔2017〕5号）。</w:t>
            </w:r>
          </w:p>
        </w:tc>
        <w:tc>
          <w:tcPr>
            <w:tcW w:w="420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及时传达安全生产工作会议精神，做好工作安排部署，落实安全生产工作责任；结合职能职责，按照要点要求，开展行业领域专项治理工作，加强宣传教育，探索安全生产社会化服务工作。30分</w:t>
            </w:r>
          </w:p>
        </w:tc>
        <w:tc>
          <w:tcPr>
            <w:tcW w:w="468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1.文件批办和工作安排不及时的，扣10分；2.未进行工作安排部署，没有开展行业领域专项治理的，扣20分；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现场查看文档和资料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加强隐患排查治理，建立完善隐患排查治理台账。</w:t>
            </w:r>
          </w:p>
        </w:tc>
        <w:tc>
          <w:tcPr>
            <w:tcW w:w="420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开展行业领域安全生产隐患排查治理工作，建立完善各类隐患台账，加强跟踪督办，及时消除各类隐患。30分</w:t>
            </w:r>
          </w:p>
        </w:tc>
        <w:tc>
          <w:tcPr>
            <w:tcW w:w="468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1.未开展隐患排查治理工作的，扣12分；</w:t>
            </w:r>
          </w:p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2.未建立隐患排查治理台账的，扣12分；</w:t>
            </w:r>
          </w:p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3.隐患排查治理台账不完善的，扣6分。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  <w:t>现场查看文档和资料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BatangChe" w:hAnsi="BatangChe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rPr>
          <w:rFonts w:hint="eastAsia"/>
          <w:kern w:val="0"/>
        </w:rPr>
      </w:pPr>
      <w:bookmarkStart w:id="0" w:name="_GoBack"/>
      <w:bookmarkEnd w:id="0"/>
    </w:p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71027"/>
    <w:rsid w:val="16A710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2017-03-27T01:33:00Z</dcterms:created>
  <dc:creator>Administrator</dc:creator>
  <cp:lastModifiedBy>Administrator</cp:lastModifiedBy>
  <dcterms:modified xsi:type="dcterms:W3CDTF">2017-03-27T01:34:30Z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