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生湿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以苯甲酸计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以山梨酸计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,铅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以脱氢乙酸计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发酵面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检验项目：苯甲酸及其钠盐(以苯甲酸计),山梨酸及其钾盐(以山梨酸计),铅(以Pb计),脱氢乙酸及其钠盐(以脱氢乙酸计)。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二、糕点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食品添加剂使用标准》,GB 7099-2015《食品安全国家标准 糕点、面包》。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过氧化值(以脂肪计),苯甲酸及其钠盐（以苯甲酸计）,山梨酸及其钾盐（以山梨酸计）,特丁基对苯二酚(TBHQ),酸价(以脂肪计)(以KOH计),甜蜜素(以环己基氨基磺酸计),铝的残留量(干样品，以Al计),霉菌,脱氢乙酸及其钠盐(以脱氢乙酸计),丙酸及其钠盐、钙盐(以丙酸计),安赛蜜,糖精钠(以糖精计),防腐剂混合使用时各自用量占其最 大使用量的比例之和 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三、豆制品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食品添加剂使用标准》,GB 2762-2017《食品安全国家标准 食品中污染物限量》。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检验项目：苯甲酸及其钠盐(以苯甲酸计),山梨酸及其钾盐(以山梨酸计),脱氢乙酸及其钠盐(以脱氢乙酸计),丙酸及其钠盐、钙盐(以丙酸计),铝的残留量(干样品，以Al计),</w:t>
      </w:r>
      <w:bookmarkStart w:id="0" w:name="_GoBack"/>
      <w:r>
        <w:rPr>
          <w:rFonts w:hint="default" w:ascii="仿宋_GB2312" w:hAnsi="宋体" w:eastAsia="仿宋_GB2312" w:cs="仿宋"/>
          <w:color w:val="000000"/>
          <w:sz w:val="32"/>
          <w:szCs w:val="32"/>
        </w:rPr>
        <w:t>纳他霉素</w:t>
      </w:r>
      <w:bookmarkEnd w:id="0"/>
      <w:r>
        <w:rPr>
          <w:rFonts w:hint="default" w:ascii="仿宋_GB2312" w:hAnsi="宋体" w:eastAsia="仿宋_GB2312" w:cs="仿宋"/>
          <w:color w:val="000000"/>
          <w:sz w:val="32"/>
          <w:szCs w:val="32"/>
        </w:rPr>
        <w:t>,防腐剂混合使用时各自用量占其最大使用量的比例之和。</w:t>
      </w:r>
    </w:p>
    <w:p>
      <w:pPr>
        <w:pStyle w:val="2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EBD3E49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0EF68AA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85165E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2020-08-31T08:20:48Z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