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hint="eastAsia"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rFonts w:hint="eastAsia"/>
          <w:b/>
          <w:color w:val="000000"/>
          <w:kern w:val="0"/>
          <w:sz w:val="44"/>
          <w:szCs w:val="44"/>
        </w:rPr>
      </w:pPr>
      <w:r>
        <w:rPr>
          <w:rFonts w:hint="eastAsia"/>
          <w:b/>
          <w:color w:val="000000"/>
          <w:kern w:val="0"/>
          <w:sz w:val="44"/>
          <w:szCs w:val="44"/>
        </w:rPr>
        <w:t>行政处罚决定书</w:t>
      </w:r>
    </w:p>
    <w:p>
      <w:pPr>
        <w:autoSpaceDE w:val="0"/>
        <w:autoSpaceDN w:val="0"/>
        <w:adjustRightInd w:val="0"/>
        <w:spacing w:before="156" w:beforeLines="50"/>
        <w:ind w:right="300"/>
        <w:jc w:val="right"/>
        <w:rPr>
          <w:rFonts w:ascii="仿宋_GB2312" w:hAnsi="仿宋" w:eastAsia="仿宋_GB2312"/>
          <w:color w:val="000000"/>
          <w:kern w:val="0"/>
          <w:sz w:val="20"/>
        </w:rPr>
      </w:pPr>
      <w:r>
        <w:rPr>
          <w:rFonts w:hint="eastAsia" w:ascii="仿宋_GB2312" w:hAnsi="仿宋" w:eastAsia="仿宋_GB2312"/>
          <w:color w:val="000000"/>
          <w:sz w:val="20"/>
        </w:rPr>
        <w:t>（</w:t>
      </w:r>
      <w:r>
        <w:rPr>
          <w:rFonts w:hint="eastAsia" w:ascii="仿宋_GB2312" w:hAnsi="仿宋" w:eastAsia="仿宋_GB2312" w:cs="仿宋"/>
          <w:color w:val="000000"/>
          <w:szCs w:val="21"/>
        </w:rPr>
        <w:t>杨</w:t>
      </w:r>
      <w:r>
        <w:rPr>
          <w:rFonts w:hint="eastAsia" w:ascii="仿宋_GB2312" w:hAnsi="仿宋" w:eastAsia="仿宋_GB2312"/>
          <w:color w:val="000000"/>
          <w:sz w:val="20"/>
        </w:rPr>
        <w:t>）管食药监</w:t>
      </w:r>
      <w:r>
        <w:rPr>
          <w:rFonts w:hint="eastAsia" w:ascii="仿宋_GB2312" w:hAnsi="仿宋" w:eastAsia="仿宋_GB2312" w:cs="仿宋"/>
          <w:color w:val="000000"/>
          <w:szCs w:val="21"/>
        </w:rPr>
        <w:t>药</w:t>
      </w:r>
      <w:r>
        <w:rPr>
          <w:rFonts w:hint="eastAsia" w:ascii="仿宋_GB2312" w:hAnsi="仿宋" w:eastAsia="仿宋_GB2312"/>
          <w:color w:val="000000"/>
          <w:kern w:val="0"/>
          <w:sz w:val="20"/>
        </w:rPr>
        <w:t>罚</w:t>
      </w:r>
      <w:r>
        <w:rPr>
          <w:rFonts w:hint="eastAsia" w:ascii="仿宋_GB2312" w:hAnsi="仿宋" w:eastAsia="仿宋_GB2312"/>
          <w:color w:val="000000"/>
          <w:sz w:val="20"/>
        </w:rPr>
        <w:t>〔201</w:t>
      </w:r>
      <w:r>
        <w:rPr>
          <w:rFonts w:hint="eastAsia" w:ascii="仿宋_GB2312" w:hAnsi="仿宋" w:eastAsia="仿宋_GB2312"/>
          <w:color w:val="000000"/>
          <w:sz w:val="20"/>
          <w:lang w:val="en-US" w:eastAsia="zh-CN"/>
        </w:rPr>
        <w:t>8</w:t>
      </w:r>
      <w:r>
        <w:rPr>
          <w:rFonts w:hint="eastAsia" w:ascii="仿宋_GB2312" w:hAnsi="仿宋" w:eastAsia="仿宋_GB2312"/>
          <w:color w:val="000000"/>
          <w:sz w:val="20"/>
        </w:rPr>
        <w:t>〕</w:t>
      </w:r>
      <w:r>
        <w:rPr>
          <w:rFonts w:hint="eastAsia" w:ascii="仿宋_GB2312" w:hAnsi="仿宋" w:eastAsia="仿宋_GB2312" w:cs="仿宋"/>
          <w:color w:val="000000"/>
          <w:szCs w:val="21"/>
          <w:lang w:val="en-US" w:eastAsia="zh-CN"/>
        </w:rPr>
        <w:t>8</w:t>
      </w:r>
      <w:r>
        <w:rPr>
          <w:rFonts w:hint="eastAsia" w:ascii="仿宋_GB2312" w:hAnsi="仿宋" w:eastAsia="仿宋_GB2312"/>
          <w:color w:val="000000"/>
          <w:kern w:val="0"/>
          <w:sz w:val="20"/>
        </w:rPr>
        <w:t>号</w:t>
      </w:r>
    </w:p>
    <w:p>
      <w:pPr>
        <w:spacing w:line="300" w:lineRule="exact"/>
        <w:rPr>
          <w:rFonts w:hint="eastAsia" w:ascii="仿宋_GB2312" w:hAnsi="仿宋" w:eastAsia="仿宋_GB2312"/>
          <w:snapToGrid w:val="0"/>
          <w:color w:val="000000"/>
          <w:kern w:val="0"/>
          <w:szCs w:val="21"/>
        </w:rPr>
      </w:pPr>
      <w:r>
        <w:rPr>
          <w:rFonts w:hint="eastAsia"/>
          <w:szCs w:val="21"/>
        </w:rPr>
        <mc:AlternateContent>
          <mc:Choice Requires="wps">
            <w:drawing>
              <wp:anchor distT="0" distB="0" distL="114300" distR="114300" simplePos="0" relativeHeight="251728896" behindDoc="0" locked="0" layoutInCell="1" allowOverlap="1">
                <wp:simplePos x="0" y="0"/>
                <wp:positionH relativeFrom="column">
                  <wp:posOffset>19050</wp:posOffset>
                </wp:positionH>
                <wp:positionV relativeFrom="paragraph">
                  <wp:posOffset>0</wp:posOffset>
                </wp:positionV>
                <wp:extent cx="56159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pt;margin-top:0pt;height:0.05pt;width:442.2pt;z-index:251728896;mso-width-relative:page;mso-height-relative:page;" filled="f" stroked="t" coordsize="21600,21600" o:gfxdata="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iAshvSAAAAAwEAAA8AAAAAAAAAAQAg&#10;AAAAIgAAAGRycy9kb3ducmV2LnhtbFBLAQIUABQAAAAIAIdO4kAyhkTK2wEAAJkDAAAOAAAAAAAA&#10;AAEAIAAAACEBAABkcnMvZTJvRG9jLnhtbFBLBQYAAAAABgAGAFkBAABuBQAAAAA=&#10;">
                <v:fill on="f" focussize="0,0"/>
                <v:stroke weight="1.5pt" color="#000000" joinstyle="round"/>
                <v:imagedata o:title=""/>
                <o:lock v:ext="edit" aspectratio="f"/>
              </v:line>
            </w:pict>
          </mc:Fallback>
        </mc:AlternateContent>
      </w:r>
      <w:r>
        <w:rPr>
          <w:rFonts w:hint="eastAsia" w:ascii="仿宋_GB2312" w:hAnsi="仿宋" w:eastAsia="仿宋_GB2312"/>
          <w:snapToGrid w:val="0"/>
          <w:color w:val="000000"/>
          <w:kern w:val="0"/>
          <w:szCs w:val="21"/>
        </w:rPr>
        <w:t>案由：</w:t>
      </w:r>
      <w:r>
        <w:rPr>
          <w:rFonts w:hint="eastAsia" w:ascii="仿宋_GB2312" w:hAnsi="仿宋" w:eastAsia="仿宋_GB2312"/>
          <w:color w:val="000000"/>
          <w:sz w:val="21"/>
          <w:szCs w:val="21"/>
          <w:u w:val="single"/>
          <w:lang w:eastAsia="zh-CN"/>
        </w:rPr>
        <w:t>陕西怡康医药有限责任公司杨凌分公司未按照《药品经营质量管理规范》经营药品案</w:t>
      </w:r>
    </w:p>
    <w:p>
      <w:pPr>
        <w:spacing w:line="300" w:lineRule="exact"/>
        <w:jc w:val="left"/>
        <w:rPr>
          <w:rFonts w:hint="eastAsia" w:ascii="仿宋_GB2312" w:hAnsi="仿宋" w:eastAsia="仿宋_GB2312"/>
          <w:snapToGrid w:val="0"/>
          <w:color w:val="000000"/>
          <w:kern w:val="0"/>
          <w:szCs w:val="21"/>
          <w:u w:val="single"/>
          <w:lang w:val="en-US" w:eastAsia="zh-CN"/>
        </w:rPr>
      </w:pPr>
      <w:r>
        <w:rPr>
          <w:rFonts w:hint="eastAsia" w:ascii="仿宋_GB2312" w:hAnsi="仿宋" w:eastAsia="仿宋_GB2312" w:cs="仿宋"/>
          <w:snapToGrid w:val="0"/>
          <w:color w:val="000000"/>
          <w:kern w:val="0"/>
          <w:szCs w:val="21"/>
          <w:u w:val="single"/>
        </w:rPr>
        <w:t>当事人：</w:t>
      </w:r>
      <w:r>
        <w:rPr>
          <w:rFonts w:hint="eastAsia" w:ascii="仿宋_GB2312" w:hAnsi="仿宋" w:eastAsia="仿宋_GB2312"/>
          <w:snapToGrid w:val="0"/>
          <w:color w:val="000000"/>
          <w:kern w:val="0"/>
          <w:szCs w:val="21"/>
          <w:u w:val="single"/>
          <w:lang w:eastAsia="zh-CN"/>
        </w:rPr>
        <w:t>陕西怡康医药有限责任公司杨凌分公司</w:t>
      </w:r>
      <w:r>
        <w:rPr>
          <w:rFonts w:hint="eastAsia" w:ascii="仿宋_GB2312" w:hAnsi="仿宋" w:eastAsia="仿宋_GB2312"/>
          <w:snapToGrid w:val="0"/>
          <w:color w:val="000000"/>
          <w:kern w:val="0"/>
          <w:szCs w:val="21"/>
          <w:u w:val="single"/>
        </w:rPr>
        <w:t xml:space="preserve">   </w:t>
      </w:r>
      <w:r>
        <w:rPr>
          <w:rFonts w:hint="eastAsia" w:ascii="仿宋_GB2312" w:hAnsi="仿宋" w:eastAsia="仿宋_GB2312" w:cs="仿宋"/>
          <w:snapToGrid w:val="0"/>
          <w:color w:val="000000"/>
          <w:kern w:val="0"/>
          <w:szCs w:val="21"/>
          <w:u w:val="single"/>
        </w:rPr>
        <w:t>地址：</w:t>
      </w:r>
      <w:r>
        <w:rPr>
          <w:rFonts w:hint="eastAsia" w:ascii="仿宋_GB2312" w:hAnsi="仿宋" w:eastAsia="仿宋_GB2312" w:cs="仿宋"/>
          <w:snapToGrid w:val="0"/>
          <w:color w:val="000000"/>
          <w:kern w:val="0"/>
          <w:szCs w:val="21"/>
          <w:u w:val="single"/>
          <w:lang w:eastAsia="zh-CN"/>
        </w:rPr>
        <w:t>杨凌示范区工业园区二路</w:t>
      </w:r>
      <w:r>
        <w:rPr>
          <w:rFonts w:hint="eastAsia" w:ascii="仿宋_GB2312" w:hAnsi="仿宋" w:eastAsia="仿宋_GB2312" w:cs="仿宋"/>
          <w:snapToGrid w:val="0"/>
          <w:color w:val="000000"/>
          <w:kern w:val="0"/>
          <w:szCs w:val="21"/>
          <w:u w:val="single"/>
        </w:rPr>
        <w:t xml:space="preserve">                               邮编：712100   营业执照或其他资质证明：</w:t>
      </w:r>
      <w:r>
        <w:rPr>
          <w:rFonts w:hint="eastAsia" w:ascii="仿宋_GB2312" w:hAnsi="仿宋" w:eastAsia="仿宋_GB2312" w:cs="仿宋"/>
          <w:snapToGrid w:val="0"/>
          <w:color w:val="000000"/>
          <w:kern w:val="0"/>
          <w:szCs w:val="21"/>
          <w:u w:val="single"/>
          <w:lang w:eastAsia="zh-CN"/>
        </w:rPr>
        <w:t>药品经营许可证</w:t>
      </w:r>
      <w:r>
        <w:rPr>
          <w:rFonts w:hint="eastAsia" w:ascii="仿宋_GB2312" w:hAnsi="仿宋" w:eastAsia="仿宋_GB2312" w:cs="仿宋"/>
          <w:snapToGrid w:val="0"/>
          <w:color w:val="000000"/>
          <w:kern w:val="0"/>
          <w:szCs w:val="21"/>
          <w:u w:val="single"/>
          <w:lang w:val="en-US" w:eastAsia="zh-CN"/>
        </w:rPr>
        <w:t xml:space="preserve"> </w:t>
      </w:r>
      <w:r>
        <w:rPr>
          <w:rFonts w:hint="eastAsia" w:ascii="仿宋_GB2312" w:hAnsi="仿宋" w:eastAsia="仿宋_GB2312" w:cs="仿宋"/>
          <w:snapToGrid w:val="0"/>
          <w:color w:val="000000"/>
          <w:kern w:val="0"/>
          <w:szCs w:val="21"/>
          <w:u w:val="single"/>
        </w:rPr>
        <w:t xml:space="preserve"> 编号：</w:t>
      </w:r>
      <w:r>
        <w:rPr>
          <w:rFonts w:hint="eastAsia" w:ascii="仿宋_GB2312" w:hAnsi="仿宋" w:eastAsia="仿宋_GB2312" w:cs="仿宋"/>
          <w:snapToGrid w:val="0"/>
          <w:color w:val="000000"/>
          <w:kern w:val="0"/>
          <w:sz w:val="24"/>
          <w:szCs w:val="24"/>
          <w:u w:val="single"/>
        </w:rPr>
        <w:t>陕</w:t>
      </w:r>
      <w:r>
        <w:rPr>
          <w:rFonts w:hint="eastAsia" w:ascii="仿宋_GB2312" w:hAnsi="仿宋" w:eastAsia="仿宋_GB2312" w:cs="仿宋"/>
          <w:snapToGrid w:val="0"/>
          <w:color w:val="000000"/>
          <w:kern w:val="0"/>
          <w:sz w:val="24"/>
          <w:szCs w:val="24"/>
          <w:u w:val="single"/>
          <w:lang w:val="en-US" w:eastAsia="zh-CN"/>
        </w:rPr>
        <w:t>AB9180001</w:t>
      </w:r>
    </w:p>
    <w:p>
      <w:pPr>
        <w:autoSpaceDE w:val="0"/>
        <w:autoSpaceDN w:val="0"/>
        <w:adjustRightInd w:val="0"/>
        <w:spacing w:line="300" w:lineRule="exact"/>
        <w:jc w:val="left"/>
        <w:rPr>
          <w:rFonts w:hint="eastAsia" w:ascii="仿宋_GB2312" w:hAnsi="仿宋" w:eastAsia="仿宋_GB2312" w:cs="仿宋"/>
          <w:snapToGrid w:val="0"/>
          <w:color w:val="000000"/>
          <w:kern w:val="0"/>
          <w:szCs w:val="21"/>
          <w:u w:val="single"/>
          <w:lang w:val="en-US" w:eastAsia="zh-CN"/>
        </w:rPr>
      </w:pPr>
      <w:r>
        <w:rPr>
          <w:rFonts w:hint="eastAsia" w:ascii="仿宋_GB2312" w:hAnsi="仿宋" w:eastAsia="仿宋_GB2312" w:cs="仿宋"/>
          <w:snapToGrid w:val="0"/>
          <w:color w:val="000000"/>
          <w:kern w:val="0"/>
          <w:szCs w:val="21"/>
          <w:u w:val="single"/>
          <w:lang w:val="en-US" w:eastAsia="zh-CN"/>
        </w:rPr>
        <w:t>统一社会信用代码：91610403******</w:t>
      </w:r>
      <w:bookmarkStart w:id="0" w:name="_GoBack"/>
      <w:bookmarkEnd w:id="0"/>
      <w:r>
        <w:rPr>
          <w:rFonts w:hint="eastAsia" w:ascii="仿宋_GB2312" w:hAnsi="仿宋" w:eastAsia="仿宋_GB2312" w:cs="仿宋"/>
          <w:snapToGrid w:val="0"/>
          <w:color w:val="000000"/>
          <w:kern w:val="0"/>
          <w:szCs w:val="21"/>
          <w:u w:val="single"/>
          <w:lang w:val="en-US" w:eastAsia="zh-CN"/>
        </w:rPr>
        <w:t>1321</w:t>
      </w:r>
    </w:p>
    <w:p>
      <w:pPr>
        <w:autoSpaceDE w:val="0"/>
        <w:autoSpaceDN w:val="0"/>
        <w:adjustRightInd w:val="0"/>
        <w:spacing w:line="300" w:lineRule="exact"/>
        <w:rPr>
          <w:rFonts w:hint="eastAsia" w:ascii="仿宋_GB2312" w:hAnsi="仿宋" w:eastAsia="仿宋_GB2312" w:cs="仿宋"/>
          <w:snapToGrid w:val="0"/>
          <w:color w:val="000000"/>
          <w:kern w:val="0"/>
          <w:szCs w:val="21"/>
          <w:u w:val="single"/>
          <w:lang w:eastAsia="zh-CN"/>
        </w:rPr>
      </w:pPr>
      <w:r>
        <w:rPr>
          <w:rFonts w:hint="eastAsia" w:ascii="仿宋_GB2312" w:hAnsi="仿宋" w:eastAsia="仿宋_GB2312" w:cs="仿宋"/>
          <w:snapToGrid w:val="0"/>
          <w:color w:val="000000"/>
          <w:kern w:val="0"/>
          <w:szCs w:val="21"/>
          <w:u w:val="single"/>
        </w:rPr>
        <w:t>法定代表人（负责人）：</w:t>
      </w:r>
      <w:r>
        <w:rPr>
          <w:rFonts w:hint="eastAsia" w:ascii="仿宋_GB2312" w:eastAsia="仿宋_GB2312"/>
          <w:snapToGrid w:val="0"/>
          <w:kern w:val="0"/>
          <w:szCs w:val="21"/>
          <w:u w:val="single"/>
          <w:lang w:eastAsia="zh-CN"/>
        </w:rPr>
        <w:t>周丽莉</w:t>
      </w:r>
      <w:r>
        <w:rPr>
          <w:rFonts w:hint="eastAsia" w:ascii="仿宋_GB2312" w:hAnsi="仿宋" w:eastAsia="仿宋_GB2312" w:cs="仿宋"/>
          <w:snapToGrid w:val="0"/>
          <w:color w:val="000000"/>
          <w:kern w:val="0"/>
          <w:szCs w:val="21"/>
          <w:u w:val="single"/>
        </w:rPr>
        <w:t xml:space="preserve">           性别：女         职务：</w:t>
      </w:r>
      <w:r>
        <w:rPr>
          <w:rFonts w:hint="eastAsia" w:ascii="仿宋_GB2312" w:hAnsi="仿宋" w:eastAsia="仿宋_GB2312" w:cs="仿宋"/>
          <w:snapToGrid w:val="0"/>
          <w:color w:val="000000"/>
          <w:kern w:val="0"/>
          <w:szCs w:val="21"/>
          <w:u w:val="single"/>
          <w:lang w:eastAsia="zh-CN"/>
        </w:rPr>
        <w:t>负责人</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_GB2312" w:eastAsia="仿宋_GB2312" w:cs="仿宋_GB2312"/>
          <w:b w:val="0"/>
          <w:i w:val="0"/>
          <w:caps w:val="0"/>
          <w:color w:val="000000"/>
          <w:spacing w:val="0"/>
          <w:sz w:val="32"/>
          <w:szCs w:val="32"/>
          <w:u w:val="single"/>
          <w:lang w:eastAsia="zh-CN"/>
        </w:rPr>
      </w:pPr>
      <w:r>
        <w:rPr>
          <w:rFonts w:hint="eastAsia" w:ascii="仿宋_GB2312" w:hAnsi="仿宋" w:eastAsia="仿宋_GB2312" w:cs="仿宋"/>
          <w:b/>
          <w:bCs/>
          <w:snapToGrid w:val="0"/>
          <w:color w:val="000000"/>
          <w:kern w:val="0"/>
          <w:szCs w:val="21"/>
          <w:lang w:eastAsia="zh-CN"/>
        </w:rPr>
        <w:t>违法事实：</w:t>
      </w:r>
      <w:r>
        <w:rPr>
          <w:rFonts w:hint="eastAsia" w:ascii="仿宋_GB2312" w:hAnsi="仿宋" w:eastAsia="仿宋_GB2312" w:cs="仿宋"/>
          <w:snapToGrid w:val="0"/>
          <w:color w:val="000000"/>
          <w:kern w:val="0"/>
          <w:szCs w:val="21"/>
          <w:lang w:val="en-US" w:eastAsia="zh-CN"/>
        </w:rPr>
        <w:t>2018年1月29日我局收到武功县局案件线索移送函，标示我辖区陕西怡康医药有限责任公司杨凌分公司向无《药品经许可证》药店销售药品。经我局调查，陕西怡康医药有限责任公司杨凌分公司在2016年4月13日当天向武功县众康医药店销售过药品小儿感冒颗粒、六味地黄丸药品，当时武功众康医药店资质齐全。2016年4月13日以后，武功县众康医药店药品经营资质到期。2017年9月28日、12月1日，陕西怡康医药有限责任公司杨凌分公司向武功众康医药店销售阿莫西林胶囊等货值610.5元的药品，随货同行单显示为收货方为武功镇徐杨村卫生室。该企业随后向我局提交了情况说明，称其公司业务员李典儒私自将配送给武功镇徐杨村卫生室的药品向武功县众康医药店配送，已经将业务员辞退。经查，1、该公司的行为违反了《药品管理法》</w:t>
      </w:r>
      <w:r>
        <w:rPr>
          <w:rFonts w:hint="eastAsia" w:ascii="仿宋_GB2312" w:hAnsi="仿宋" w:eastAsia="仿宋_GB2312" w:cs="仿宋"/>
          <w:snapToGrid w:val="0"/>
          <w:color w:val="000000"/>
          <w:kern w:val="0"/>
          <w:szCs w:val="21"/>
          <w:u w:val="single"/>
        </w:rPr>
        <w:t>第十六条　</w:t>
      </w:r>
      <w:r>
        <w:rPr>
          <w:rFonts w:hint="eastAsia" w:ascii="仿宋_GB2312" w:hAnsi="仿宋" w:eastAsia="仿宋_GB2312" w:cs="仿宋"/>
          <w:snapToGrid w:val="0"/>
          <w:color w:val="000000"/>
          <w:kern w:val="0"/>
          <w:szCs w:val="21"/>
          <w:u w:val="single"/>
          <w:lang w:eastAsia="zh-CN"/>
        </w:rPr>
        <w:t>第一款</w:t>
      </w:r>
      <w:r>
        <w:rPr>
          <w:rFonts w:hint="eastAsia" w:ascii="仿宋_GB2312" w:hAnsi="仿宋" w:eastAsia="仿宋_GB2312" w:cs="仿宋"/>
          <w:snapToGrid w:val="0"/>
          <w:color w:val="000000"/>
          <w:kern w:val="0"/>
          <w:szCs w:val="21"/>
          <w:u w:val="single"/>
          <w:lang w:val="en-US" w:eastAsia="zh-CN"/>
        </w:rPr>
        <w:t xml:space="preserve"> </w:t>
      </w:r>
      <w:r>
        <w:rPr>
          <w:rFonts w:hint="eastAsia" w:ascii="仿宋_GB2312" w:hAnsi="仿宋" w:eastAsia="仿宋_GB2312" w:cs="仿宋"/>
          <w:snapToGrid w:val="0"/>
          <w:color w:val="000000"/>
          <w:kern w:val="0"/>
          <w:szCs w:val="21"/>
          <w:u w:val="single"/>
        </w:rPr>
        <w:t>药品经营企业必须按照国务院药品监督管理部门依据本法制定的《药品经营质量管理规范》经营药品。药品监督管理部门按照规定对药品经营企业是否符合《药品经营质量管理规范》的要求进行认证；对认证合格的，发给认证证书。</w:t>
      </w:r>
      <w:r>
        <w:rPr>
          <w:rFonts w:hint="eastAsia" w:ascii="仿宋_GB2312" w:hAnsi="仿宋" w:eastAsia="仿宋_GB2312" w:cs="仿宋"/>
          <w:snapToGrid w:val="0"/>
          <w:color w:val="000000"/>
          <w:kern w:val="0"/>
          <w:szCs w:val="21"/>
          <w:u w:val="single"/>
          <w:lang w:val="en-US" w:eastAsia="zh-CN"/>
        </w:rPr>
        <w:t>《药品经营质量管理规范》的</w:t>
      </w:r>
      <w:r>
        <w:rPr>
          <w:rFonts w:hint="eastAsia" w:ascii="仿宋_GB2312" w:hAnsi="仿宋" w:eastAsia="仿宋_GB2312" w:cs="仿宋"/>
          <w:snapToGrid w:val="0"/>
          <w:color w:val="000000"/>
          <w:kern w:val="0"/>
          <w:szCs w:val="21"/>
          <w:u w:val="single"/>
        </w:rPr>
        <w:t>第十一节 销 售第八十九条 企业应当将药品销售给合法的购货单位，并对购货单位的证明文件、采购人员及提货人员的身份证明进行核实，保证药品销售流向真实、合法。第九十一条 企业销售药品，应当如实开具发票，做到票、账、货、款一致。</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 w:eastAsia="仿宋_GB2312" w:cs="仿宋"/>
          <w:snapToGrid w:val="0"/>
          <w:color w:val="000000"/>
          <w:kern w:val="0"/>
          <w:szCs w:val="21"/>
          <w:lang w:val="en-US" w:eastAsia="zh-CN"/>
        </w:rPr>
      </w:pPr>
      <w:r>
        <w:rPr>
          <w:rFonts w:hint="eastAsia" w:ascii="仿宋_GB2312" w:hAnsi="仿宋" w:eastAsia="仿宋_GB2312" w:cs="仿宋"/>
          <w:b/>
          <w:bCs/>
          <w:snapToGrid w:val="0"/>
          <w:color w:val="000000"/>
          <w:kern w:val="0"/>
          <w:szCs w:val="21"/>
          <w:lang w:val="en-US" w:eastAsia="zh-CN"/>
        </w:rPr>
        <w:t>证据材料：</w:t>
      </w:r>
      <w:r>
        <w:rPr>
          <w:rFonts w:hint="eastAsia" w:ascii="仿宋_GB2312" w:hAnsi="仿宋" w:eastAsia="仿宋_GB2312" w:cs="仿宋"/>
          <w:snapToGrid w:val="0"/>
          <w:color w:val="000000"/>
          <w:kern w:val="0"/>
          <w:szCs w:val="21"/>
          <w:lang w:val="en-US" w:eastAsia="zh-CN"/>
        </w:rPr>
        <w:t>武功县食品药品监督管理局移交函（武食药[201801]函）及其附件，企业情况说明，相关票据、现场检查笔录，调查询问笔录。</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 w:eastAsia="仿宋_GB2312" w:cs="仿宋"/>
          <w:snapToGrid w:val="0"/>
          <w:color w:val="000000"/>
          <w:kern w:val="0"/>
          <w:szCs w:val="21"/>
          <w:lang w:val="en-US" w:eastAsia="zh-CN"/>
        </w:rPr>
      </w:pPr>
      <w:r>
        <w:rPr>
          <w:rFonts w:hint="eastAsia" w:ascii="仿宋_GB2312" w:hAnsi="仿宋" w:eastAsia="仿宋_GB2312" w:cs="仿宋"/>
          <w:b/>
          <w:bCs/>
          <w:snapToGrid w:val="0"/>
          <w:color w:val="000000"/>
          <w:kern w:val="0"/>
          <w:szCs w:val="21"/>
          <w:lang w:val="en-US" w:eastAsia="zh-CN"/>
        </w:rPr>
        <w:t>处罚依据：</w:t>
      </w:r>
      <w:r>
        <w:rPr>
          <w:rFonts w:hint="eastAsia" w:ascii="仿宋_GB2312" w:hAnsi="仿宋" w:eastAsia="仿宋_GB2312" w:cs="仿宋"/>
          <w:snapToGrid w:val="0"/>
          <w:color w:val="000000"/>
          <w:kern w:val="0"/>
          <w:szCs w:val="21"/>
          <w:lang w:val="en-US" w:eastAsia="zh-CN"/>
        </w:rPr>
        <w:t>依据《药品管理法》</w:t>
      </w:r>
      <w:r>
        <w:rPr>
          <w:rFonts w:hint="eastAsia" w:ascii="仿宋_GB2312" w:hAnsi="仿宋" w:eastAsia="仿宋_GB2312" w:cs="仿宋"/>
          <w:snapToGrid w:val="0"/>
          <w:color w:val="000000"/>
          <w:kern w:val="0"/>
          <w:szCs w:val="21"/>
          <w:u w:val="single"/>
          <w:lang w:val="en-US" w:eastAsia="zh-CN"/>
        </w:rPr>
        <w:t>第七十八条　药品的生产企业、经营企业、药物非临床安全性评价研究机构、药物临床试验机构未按照规定实施《药品生产质量管理规范》、《药品经营质量管理规范》、药物非临床研究质量管理规范、药物临床试验质量管理规范的，给予警告，责令限期改正；逾期不改正的，责令停产、停业整顿，并处五千元以上二万元以下的罚款；情节严重的，吊销《药品生产许可证》、《药品经营许可证》和药物临床试验机构的资格。</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 w:eastAsia="仿宋_GB2312" w:cs="仿宋"/>
          <w:snapToGrid w:val="0"/>
          <w:color w:val="000000"/>
          <w:kern w:val="0"/>
          <w:szCs w:val="21"/>
          <w:lang w:val="en-US" w:eastAsia="zh-CN"/>
        </w:rPr>
      </w:pPr>
      <w:r>
        <w:rPr>
          <w:rFonts w:hint="eastAsia" w:ascii="仿宋_GB2312" w:hAnsi="仿宋" w:eastAsia="仿宋_GB2312" w:cs="仿宋"/>
          <w:b/>
          <w:bCs/>
          <w:snapToGrid w:val="0"/>
          <w:color w:val="000000"/>
          <w:kern w:val="0"/>
          <w:szCs w:val="21"/>
          <w:lang w:val="en-US" w:eastAsia="zh-CN"/>
        </w:rPr>
        <w:t xml:space="preserve">处罚决定: </w:t>
      </w:r>
      <w:r>
        <w:rPr>
          <w:rFonts w:hint="eastAsia" w:ascii="仿宋_GB2312" w:hAnsi="仿宋" w:eastAsia="仿宋_GB2312" w:cs="仿宋"/>
          <w:snapToGrid w:val="0"/>
          <w:color w:val="000000"/>
          <w:kern w:val="0"/>
          <w:szCs w:val="21"/>
          <w:lang w:val="en-US" w:eastAsia="zh-CN"/>
        </w:rPr>
        <w:t>给予警告，责令整改。</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_GB2312" w:hAnsi="仿宋" w:eastAsia="仿宋_GB2312" w:cs="仿宋"/>
          <w:snapToGrid w:val="0"/>
          <w:color w:val="000000"/>
          <w:kern w:val="0"/>
          <w:szCs w:val="21"/>
          <w:lang w:val="en-US" w:eastAsia="zh-CN"/>
        </w:rPr>
      </w:pPr>
    </w:p>
    <w:p>
      <w:pPr>
        <w:autoSpaceDE w:val="0"/>
        <w:autoSpaceDN w:val="0"/>
        <w:adjustRightInd w:val="0"/>
        <w:snapToGrid w:val="0"/>
        <w:spacing w:line="320" w:lineRule="exact"/>
        <w:ind w:firstLine="480" w:firstLineChars="200"/>
        <w:rPr>
          <w:rFonts w:hint="eastAsia" w:ascii="仿宋_GB2312" w:hAnsi="仿宋" w:eastAsia="仿宋_GB2312" w:cs="仿宋"/>
          <w:snapToGrid w:val="0"/>
          <w:kern w:val="0"/>
          <w:sz w:val="24"/>
        </w:rPr>
      </w:pPr>
      <w:r>
        <w:rPr>
          <w:rFonts w:hint="eastAsia" w:ascii="仿宋_GB2312" w:hAnsi="仿宋" w:eastAsia="仿宋_GB2312" w:cs="仿宋"/>
          <w:snapToGrid w:val="0"/>
          <w:kern w:val="0"/>
          <w:sz w:val="24"/>
        </w:rPr>
        <w:t>如不服本处罚决定，可在接到本处罚决定书之日起</w:t>
      </w:r>
      <w:r>
        <w:rPr>
          <w:rFonts w:hint="eastAsia" w:ascii="仿宋_GB2312" w:hAnsi="仿宋" w:eastAsia="仿宋_GB2312" w:cs="仿宋"/>
          <w:b/>
          <w:snapToGrid w:val="0"/>
          <w:kern w:val="0"/>
          <w:sz w:val="24"/>
          <w:u w:val="single"/>
        </w:rPr>
        <w:t>60日</w:t>
      </w:r>
      <w:r>
        <w:rPr>
          <w:rFonts w:hint="eastAsia" w:ascii="仿宋_GB2312" w:hAnsi="仿宋" w:eastAsia="仿宋_GB2312" w:cs="仿宋"/>
          <w:snapToGrid w:val="0"/>
          <w:kern w:val="0"/>
          <w:sz w:val="24"/>
        </w:rPr>
        <w:t>内向</w:t>
      </w:r>
      <w:r>
        <w:rPr>
          <w:rFonts w:hint="eastAsia" w:ascii="仿宋_GB2312" w:hAnsi="仿宋" w:eastAsia="仿宋_GB2312" w:cs="仿宋"/>
          <w:b/>
          <w:snapToGrid w:val="0"/>
          <w:kern w:val="0"/>
          <w:sz w:val="24"/>
          <w:u w:val="single"/>
        </w:rPr>
        <w:t>陕西省食品药品监督管理局</w:t>
      </w:r>
      <w:r>
        <w:rPr>
          <w:rFonts w:hint="eastAsia" w:ascii="仿宋_GB2312" w:hAnsi="仿宋" w:eastAsia="仿宋_GB2312" w:cs="仿宋"/>
          <w:snapToGrid w:val="0"/>
          <w:kern w:val="0"/>
          <w:sz w:val="24"/>
        </w:rPr>
        <w:t>或者</w:t>
      </w:r>
      <w:r>
        <w:rPr>
          <w:rFonts w:hint="eastAsia" w:ascii="仿宋_GB2312" w:hAnsi="仿宋" w:eastAsia="仿宋_GB2312" w:cs="仿宋"/>
          <w:b/>
          <w:snapToGrid w:val="0"/>
          <w:kern w:val="0"/>
          <w:sz w:val="24"/>
          <w:u w:val="single"/>
        </w:rPr>
        <w:t>杨凌示范区管委会</w:t>
      </w:r>
      <w:r>
        <w:rPr>
          <w:rFonts w:hint="eastAsia" w:ascii="仿宋_GB2312" w:hAnsi="仿宋" w:eastAsia="仿宋_GB2312" w:cs="仿宋"/>
          <w:snapToGrid w:val="0"/>
          <w:kern w:val="0"/>
          <w:sz w:val="24"/>
        </w:rPr>
        <w:t>申请行政复议，也可以于</w:t>
      </w:r>
      <w:r>
        <w:rPr>
          <w:rFonts w:hint="eastAsia" w:ascii="仿宋_GB2312" w:hAnsi="仿宋" w:eastAsia="仿宋_GB2312" w:cs="仿宋"/>
          <w:b/>
          <w:snapToGrid w:val="0"/>
          <w:kern w:val="0"/>
          <w:sz w:val="24"/>
          <w:u w:val="single"/>
        </w:rPr>
        <w:t>6个月内</w:t>
      </w:r>
      <w:r>
        <w:rPr>
          <w:rFonts w:hint="eastAsia" w:ascii="仿宋_GB2312" w:hAnsi="仿宋" w:eastAsia="仿宋_GB2312" w:cs="仿宋"/>
          <w:snapToGrid w:val="0"/>
          <w:kern w:val="0"/>
          <w:sz w:val="24"/>
        </w:rPr>
        <w:t>依法向</w:t>
      </w:r>
      <w:r>
        <w:rPr>
          <w:rFonts w:hint="eastAsia" w:ascii="仿宋_GB2312" w:hAnsi="仿宋" w:eastAsia="仿宋_GB2312" w:cs="仿宋"/>
          <w:b/>
          <w:snapToGrid w:val="0"/>
          <w:kern w:val="0"/>
          <w:sz w:val="24"/>
          <w:u w:val="single"/>
        </w:rPr>
        <w:t>杨陵区人民法院</w:t>
      </w:r>
      <w:r>
        <w:rPr>
          <w:rFonts w:hint="eastAsia" w:ascii="仿宋_GB2312" w:hAnsi="仿宋" w:eastAsia="仿宋_GB2312" w:cs="仿宋"/>
          <w:snapToGrid w:val="0"/>
          <w:kern w:val="0"/>
          <w:sz w:val="24"/>
        </w:rPr>
        <w:t>提起行政诉讼。</w:t>
      </w:r>
      <w:r>
        <w:rPr>
          <w:rFonts w:hint="eastAsia" w:ascii="仿宋_GB2312" w:hAnsi="新宋体" w:eastAsia="仿宋_GB2312"/>
          <w:snapToGrid w:val="0"/>
          <w:kern w:val="0"/>
          <w:sz w:val="24"/>
        </w:rPr>
        <w:t>但不得停止执行本处罚决定。逾期不申请行政复议也不向人民法院起诉，又不履行处罚决定的，本机关将依法申请人民法院强制执行。</w:t>
      </w:r>
    </w:p>
    <w:p>
      <w:pPr>
        <w:tabs>
          <w:tab w:val="left" w:pos="8364"/>
        </w:tabs>
        <w:autoSpaceDE w:val="0"/>
        <w:autoSpaceDN w:val="0"/>
        <w:adjustRightInd w:val="0"/>
        <w:spacing w:before="156" w:beforeLines="50" w:line="300" w:lineRule="exact"/>
        <w:ind w:right="420"/>
        <w:jc w:val="center"/>
        <w:rPr>
          <w:rFonts w:hint="eastAsia" w:ascii="仿宋_GB2312" w:hAnsi="仿宋" w:eastAsia="仿宋_GB2312"/>
          <w:snapToGrid w:val="0"/>
          <w:color w:val="000000"/>
          <w:kern w:val="0"/>
          <w:sz w:val="24"/>
        </w:rPr>
      </w:pPr>
      <w:r>
        <w:rPr>
          <w:rFonts w:hint="eastAsia" w:ascii="仿宋_GB2312" w:hAnsi="仿宋" w:eastAsia="仿宋_GB2312"/>
          <w:snapToGrid w:val="0"/>
          <w:color w:val="000000"/>
          <w:kern w:val="0"/>
          <w:sz w:val="24"/>
        </w:rPr>
        <w:t xml:space="preserve">                         </w:t>
      </w:r>
    </w:p>
    <w:p>
      <w:pPr>
        <w:tabs>
          <w:tab w:val="left" w:pos="8364"/>
        </w:tabs>
        <w:autoSpaceDE w:val="0"/>
        <w:autoSpaceDN w:val="0"/>
        <w:adjustRightInd w:val="0"/>
        <w:spacing w:before="156" w:beforeLines="50" w:line="300" w:lineRule="exact"/>
        <w:ind w:right="420"/>
        <w:jc w:val="center"/>
        <w:rPr>
          <w:rFonts w:hint="eastAsia" w:ascii="仿宋_GB2312" w:hAnsi="仿宋" w:eastAsia="仿宋_GB2312"/>
          <w:snapToGrid w:val="0"/>
          <w:color w:val="000000"/>
          <w:kern w:val="0"/>
          <w:sz w:val="24"/>
        </w:rPr>
      </w:pPr>
      <w:r>
        <w:rPr>
          <w:rFonts w:hint="eastAsia" w:ascii="仿宋_GB2312" w:hAnsi="仿宋" w:eastAsia="仿宋_GB2312"/>
          <w:snapToGrid w:val="0"/>
          <w:color w:val="000000"/>
          <w:kern w:val="0"/>
          <w:sz w:val="24"/>
        </w:rPr>
        <w:t xml:space="preserve">          </w:t>
      </w:r>
    </w:p>
    <w:p>
      <w:pPr>
        <w:tabs>
          <w:tab w:val="left" w:pos="8364"/>
        </w:tabs>
        <w:autoSpaceDE w:val="0"/>
        <w:autoSpaceDN w:val="0"/>
        <w:adjustRightInd w:val="0"/>
        <w:spacing w:before="156" w:beforeLines="50" w:line="300" w:lineRule="exact"/>
        <w:ind w:right="420"/>
        <w:jc w:val="center"/>
        <w:rPr>
          <w:rFonts w:hint="eastAsia" w:ascii="仿宋_GB2312" w:hAnsi="仿宋" w:eastAsia="仿宋_GB2312"/>
          <w:snapToGrid w:val="0"/>
          <w:color w:val="000000"/>
          <w:kern w:val="0"/>
          <w:sz w:val="24"/>
        </w:rPr>
      </w:pPr>
      <w:r>
        <w:rPr>
          <w:rFonts w:hint="eastAsia" w:ascii="仿宋_GB2312" w:hAnsi="仿宋" w:eastAsia="仿宋_GB2312"/>
          <w:snapToGrid w:val="0"/>
          <w:color w:val="000000"/>
          <w:kern w:val="0"/>
          <w:sz w:val="24"/>
        </w:rPr>
        <w:t xml:space="preserve">                          （公    章）</w:t>
      </w:r>
    </w:p>
    <w:p>
      <w:pPr>
        <w:autoSpaceDE w:val="0"/>
        <w:autoSpaceDN w:val="0"/>
        <w:adjustRightInd w:val="0"/>
        <w:spacing w:before="156" w:beforeLines="50" w:line="300" w:lineRule="exact"/>
        <w:rPr>
          <w:rFonts w:hint="eastAsia" w:ascii="黑体" w:hAnsi="黑体" w:eastAsia="黑体"/>
          <w:b/>
          <w:bCs/>
          <w:color w:val="000000"/>
          <w:sz w:val="32"/>
          <w:szCs w:val="32"/>
        </w:rPr>
      </w:pPr>
      <w:r>
        <w:rPr>
          <w:rFonts w:hint="eastAsia" w:ascii="仿宋_GB2312" w:eastAsia="仿宋_GB2312"/>
          <w:snapToGrid w:val="0"/>
          <w:kern w:val="0"/>
          <w:sz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B348A"/>
    <w:rsid w:val="6C333422"/>
    <w:rsid w:val="71F82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7"/>
    <w:basedOn w:val="1"/>
    <w:uiPriority w:val="0"/>
    <w:pPr>
      <w:widowControl/>
      <w:spacing w:before="100" w:beforeLines="0" w:after="100" w:afterLines="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Emily </cp:lastModifiedBy>
  <dcterms:modified xsi:type="dcterms:W3CDTF">2018-07-17T03:41:08Z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