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炒货食品及坚果制品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2760-2014《食品安全国家标准 食品添加剂使用标准》、GB 19300-2014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/>
        </w:rPr>
        <w:t>食品安全国家标准 坚果与籽类食品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2761-2017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食品中真菌毒素限量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食物中污染物限量》指标的要求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960" w:firstLineChars="3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炒货食品及坚果制品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项目包括二氧化硫残留量、过氧化值（以脂肪计）、黄曲霉毒素 B₁、铅（以Pb计）、酸价（以脂肪计）（KOH）、糖精钠（以糖精计）、甜蜜素（以环己基氨基磺酸计）</w:t>
      </w: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1"/>
        </w:num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豆制品</w:t>
      </w:r>
    </w:p>
    <w:p>
      <w:pPr>
        <w:numPr>
          <w:ilvl w:val="0"/>
          <w:numId w:val="0"/>
        </w:numPr>
        <w:adjustRightInd w:val="0"/>
        <w:spacing w:line="640" w:lineRule="exact"/>
        <w:ind w:firstLine="960" w:firstLineChars="3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960" w:firstLineChars="300"/>
        <w:rPr>
          <w:rFonts w:hint="eastAsia" w:ascii="仿宋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食品添加剂使用标准》GB 2712-2014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/>
        </w:rPr>
        <w:t>食品安全国家标准 豆制品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2762-2017 《食品安全国家标准 食物中污染物限量》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指标要求。</w:t>
      </w:r>
    </w:p>
    <w:p>
      <w:pPr>
        <w:adjustRightInd w:val="0"/>
        <w:spacing w:line="640" w:lineRule="exact"/>
        <w:ind w:firstLine="960" w:firstLineChars="3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ind w:firstLine="960" w:firstLineChars="300"/>
        <w:rPr>
          <w:rFonts w:hint="eastAsia"/>
          <w:lang w:eastAsia="zh-CN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豆制品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苯甲酸及其钠盐（以苯甲酸计）、丙酸及其钠盐、钙盐（以丙酸计）、防腐剂混合使用时各自用量占其最大使用量的比例之和、铝的残留量（干样品，以Al计）、柠檬黄、铅（以Pb计）、三氯蔗糖、山梨酸及其钾盐（以山梨酸计）、糖精钠（以糖精计）、脱氢乙酸及其钠盐（以脱氢乙酸计）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、糕点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食品添加剂使用标准》GB 7099-2015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食品安全国家标准 糕点、面包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、食品整治办 [2009]5 号、GB 29921-2013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食品中致病菌限量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、GB 2762-2017《食品安全国家标准 食物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糕点的抽检项目包括苯甲酸及其钠盐（以苯甲酸计）、丙酸及其钠盐、钙盐（以丙酸计）、大肠菌群(n=5)、防腐剂混合使用时各自用量占其最大使用量的比例之和、过氧化值（以脂肪计）、金黄色葡萄球菌（n=5）、菌落总数(n=5)、铝的残留量（干样品，以Al计）、霉菌、纳他霉素、沙门氏菌（n=5）、山梨酸及其钾盐（以山梨酸计）、酸价（以脂肪计）（KOH）、糖精钠（以糖精计）、脱氢乙酸及其钠盐（以脱氢乙酸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酒类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食品添加剂使用标准》、Q/SYCS 0007S-2019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企业标准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2762-2017《食品安全国家标准 食物中污染物限量》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酒类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苯甲酸及其钠盐（以苯甲酸计）、二氧化硫残留量、酒精度(乙醇浓度)、纳他霉素、铅（以Pb计）、三氯蔗糖、山梨酸及其钾盐（以山梨酸计）、糖精钠（以糖精计）、甜蜜素（以环己基氨基磺酸计）、脱氢乙酸及其钠盐（以脱氢乙酸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粮食加工品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抽检依据是GB 2761-2017《食品安全国家标准 食品中真菌毒素限量》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、GB 2760-2014《食品安全国家标准 食品添加剂使用标准》指标要求。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粮食加工品抽检项目包括苯并[a]芘、镉（以Cd计）、过氧化苯甲酰、黄曲霉毒素 B₁、脱氧雪腐镰刀菌烯醇、玉米赤霉烯酮、赭曲霉毒素A。</w:t>
      </w:r>
      <w:bookmarkStart w:id="0" w:name="_GoBack"/>
      <w:bookmarkEnd w:id="0"/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肉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食品添加剂使用标准》GB 2726-2016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熟肉制品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29921-2013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食品中致病菌限量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、GB 2762-2017《食品安全国家标准 食物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肉制品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苯甲酸及其钠盐（以苯甲酸计）、对羟基苯甲酸酯类及其钠盐（以对羟基苯甲酸计）、防腐剂混合使用时各自用量占其最大使用量的比例之和、镉（以Cd计）、铬（以Cr计）、氯霉素、铅（以Pb计）、山梨酸及其钾盐（以山梨酸计）、商业无菌、酸性橙Ⅱ、糖精钠（以糖精计）、脱氢乙酸及其钠盐（以脱氢乙酸计）、亚硝酸盐(以亚硝酸钠计)、胭脂红、总砷（以As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乳制品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乳制品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19644-2010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乳粉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2762-2017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《食品安全国家标准 食物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中污染物限量》、卫生部、工业和信息化部、农业部、工商总局质检总局公告2011年第10号指标的要求。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乳制品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的抽检项目包括大肠菌群(n=5)、蛋白质、铬（以Cr计）、金黄色葡萄球菌（n=5）、三聚氰胺、沙门氏菌（n=5）、水分、亚硝酸盐(以亚硝酸钠计)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八、食用油、油脂及其制品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食品添加剂使用标准》、GB 2716-2018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食品安全国家标准 植物油</w:t>
      </w:r>
      <w:r>
        <w:rPr>
          <w:rFonts w:hint="eastAsia" w:ascii="Verdana" w:hAnsi="Verdana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2762-2017《食品安全国家标准 食物中污染物限量》、Q/BBAH 0024S-2018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企业标准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的抽检项目包括苯并[a]芘、丁基羟基茴香醚（BHA）、过氧化值、黄曲霉毒素 B₁、铅（以Pb计）、溶剂残留量、酸价（以KOH计）、特丁基对苯二酚（TBHQ）、乙基麦芽酚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九、薯类和膨化食品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 、GB 17401-2014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食品安全国家标准 膨化食品</w:t>
      </w:r>
      <w:r>
        <w:rPr>
          <w:rFonts w:hint="eastAsia" w:ascii="Verdana" w:hAnsi="Verdana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2761-2017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食品中真菌毒素限量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、GB/T 22699-2008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膨化食品</w:t>
      </w:r>
      <w:r>
        <w:rPr>
          <w:rFonts w:hint="eastAsia" w:ascii="Verdana" w:hAnsi="Verdana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薯类和膨化食品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抽检项目包括苯甲酸及其钠盐（以苯甲酸计）、大肠菌群(n=5)、过氧化值（以脂肪计）、黄曲霉毒素 B₁、菌落总数(n=5)、山梨酸及其钾盐（以山梨酸计）、水分、酸价（以脂肪计）（KOH）、糖精钠（以糖精计）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调味品抽检依据是GB 2760-2014《食品安全国家标准 食品添加剂使用标准》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食品整治办〔2008〕3 号、GB 2762-2017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《食品安全国家标准 食物中污染物限量》指标的要求。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苯甲酸及其钠盐（以苯甲酸计）、防腐剂混合使用时各自用量占其最大使用量的比例之和、罗丹明B、铅（以Pb计）、山梨酸及其钾盐（以山梨酸计）、甜蜜素（以环己基氨基磺酸计）、脱氢乙酸及其钠盐（以脱氢乙酸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7101-2015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饮料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29921-2013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食品中致病菌限量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食物中污染物限量》、GB 2760-2014《食品安全国家标准 食品添加剂使用标准》指标的要求。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抽检项目包括安赛蜜、苯甲酸及其钠盐（以苯甲酸计）、大肠菌群(n=5)、防腐剂混合使用时各自用量占其最大使用量的比例之和、酵母菌、金黄色葡萄球菌（n=5）、菌落总数(n=5)、亮蓝、霉菌、柠檬黄、铅（以Pb计）、日落黄、沙门氏菌（n=5）、山梨酸及其钾盐（以山梨酸计）、糖精钠（以糖精计）、甜蜜素（以环己基氨基磺酸计）、脱氢乙酸及其钠盐（以脱氢乙酸计）、苋菜红、胭脂红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A320A"/>
    <w:multiLevelType w:val="singleLevel"/>
    <w:tmpl w:val="B6EA32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840A0"/>
    <w:rsid w:val="00AD2205"/>
    <w:rsid w:val="00B2645E"/>
    <w:rsid w:val="00CC4919"/>
    <w:rsid w:val="00DB19BC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B89397A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62026C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3F5D5F44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9E3740D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B6041D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7AA6845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14</TotalTime>
  <ScaleCrop>false</ScaleCrop>
  <LinksUpToDate>false</LinksUpToDate>
  <CharactersWithSpaces>1787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2021-09-23T00:59:28Z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6005EB19F8464506BE44BF2802BB0693</vt:lpwstr>
  </property>
</Properties>
</file>